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EBBD" w14:textId="77777777" w:rsidR="0047040B" w:rsidRPr="00C638B7" w:rsidRDefault="0047040B">
      <w:pPr>
        <w:tabs>
          <w:tab w:val="left" w:pos="851"/>
        </w:tabs>
        <w:ind w:left="567" w:right="367"/>
        <w:rPr>
          <w:rFonts w:cs="Arial"/>
          <w:color w:val="000000"/>
        </w:rPr>
      </w:pPr>
    </w:p>
    <w:p w14:paraId="4631A87F" w14:textId="77777777" w:rsidR="0047040B" w:rsidRPr="00C638B7" w:rsidRDefault="0047040B" w:rsidP="00CA5E84">
      <w:pPr>
        <w:pStyle w:val="SubHeading"/>
        <w:rPr>
          <w:rFonts w:cs="Arial"/>
          <w:sz w:val="24"/>
        </w:rPr>
        <w:sectPr w:rsidR="0047040B" w:rsidRPr="00C638B7">
          <w:headerReference w:type="even" r:id="rId8"/>
          <w:headerReference w:type="default" r:id="rId9"/>
          <w:footerReference w:type="even" r:id="rId10"/>
          <w:footerReference w:type="default" r:id="rId11"/>
          <w:headerReference w:type="first" r:id="rId12"/>
          <w:footerReference w:type="first" r:id="rId13"/>
          <w:pgSz w:w="11899" w:h="16838"/>
          <w:pgMar w:top="2951" w:right="333" w:bottom="1702" w:left="426" w:header="426" w:footer="391" w:gutter="0"/>
          <w:cols w:space="708"/>
          <w:titlePg/>
        </w:sectPr>
      </w:pPr>
    </w:p>
    <w:tbl>
      <w:tblPr>
        <w:tblpPr w:leftFromText="181" w:rightFromText="181"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954"/>
      </w:tblGrid>
      <w:tr w:rsidR="0047040B" w:rsidRPr="00C638B7" w14:paraId="60FE3392" w14:textId="77777777">
        <w:tc>
          <w:tcPr>
            <w:tcW w:w="4219" w:type="dxa"/>
          </w:tcPr>
          <w:p w14:paraId="7A19ED1F" w14:textId="77777777" w:rsidR="0047040B" w:rsidRPr="00C638B7" w:rsidRDefault="0047040B">
            <w:pPr>
              <w:pStyle w:val="Heading1"/>
              <w:rPr>
                <w:rFonts w:cs="Arial"/>
                <w:sz w:val="24"/>
                <w:szCs w:val="24"/>
              </w:rPr>
            </w:pPr>
            <w:r w:rsidRPr="00C638B7">
              <w:rPr>
                <w:rFonts w:cs="Arial"/>
                <w:sz w:val="24"/>
                <w:szCs w:val="24"/>
              </w:rPr>
              <w:t>Council policy title:</w:t>
            </w:r>
          </w:p>
        </w:tc>
        <w:tc>
          <w:tcPr>
            <w:tcW w:w="5954" w:type="dxa"/>
          </w:tcPr>
          <w:p w14:paraId="4FAAA80F" w14:textId="25E89C05" w:rsidR="0047040B" w:rsidRPr="00C638B7" w:rsidRDefault="00CF3257">
            <w:pPr>
              <w:pStyle w:val="Heading1"/>
              <w:rPr>
                <w:rFonts w:cs="Arial"/>
                <w:b w:val="0"/>
                <w:sz w:val="24"/>
                <w:szCs w:val="24"/>
              </w:rPr>
            </w:pPr>
            <w:bookmarkStart w:id="0" w:name="_Hlk104304141"/>
            <w:r w:rsidRPr="00CF3257">
              <w:rPr>
                <w:rFonts w:cs="Arial"/>
                <w:sz w:val="24"/>
                <w:szCs w:val="24"/>
              </w:rPr>
              <w:t xml:space="preserve">Special </w:t>
            </w:r>
            <w:r w:rsidR="00700BA3">
              <w:rPr>
                <w:rFonts w:cs="Arial"/>
                <w:sz w:val="24"/>
                <w:szCs w:val="24"/>
              </w:rPr>
              <w:t>R</w:t>
            </w:r>
            <w:r w:rsidRPr="00CF3257">
              <w:rPr>
                <w:rFonts w:cs="Arial"/>
                <w:sz w:val="24"/>
                <w:szCs w:val="24"/>
              </w:rPr>
              <w:t xml:space="preserve">ate and Special Charge </w:t>
            </w:r>
            <w:bookmarkEnd w:id="0"/>
            <w:r w:rsidRPr="00CF3257">
              <w:rPr>
                <w:rFonts w:cs="Arial"/>
                <w:sz w:val="24"/>
                <w:szCs w:val="24"/>
              </w:rPr>
              <w:t>Policy 2022</w:t>
            </w:r>
          </w:p>
        </w:tc>
      </w:tr>
      <w:tr w:rsidR="0047040B" w:rsidRPr="00C638B7" w14:paraId="51E02385" w14:textId="77777777">
        <w:tc>
          <w:tcPr>
            <w:tcW w:w="4219" w:type="dxa"/>
            <w:tcBorders>
              <w:bottom w:val="single" w:sz="4" w:space="0" w:color="auto"/>
            </w:tcBorders>
          </w:tcPr>
          <w:p w14:paraId="130D4601" w14:textId="77777777" w:rsidR="0047040B" w:rsidRPr="00C638B7" w:rsidRDefault="0047040B" w:rsidP="00043B3E">
            <w:pPr>
              <w:pStyle w:val="Heading1"/>
              <w:rPr>
                <w:rFonts w:cs="Arial"/>
                <w:sz w:val="24"/>
                <w:szCs w:val="24"/>
              </w:rPr>
            </w:pPr>
            <w:r w:rsidRPr="00C638B7">
              <w:rPr>
                <w:rFonts w:cs="Arial"/>
                <w:sz w:val="24"/>
                <w:szCs w:val="24"/>
              </w:rPr>
              <w:t xml:space="preserve">Council policy </w:t>
            </w:r>
            <w:r w:rsidR="00043B3E" w:rsidRPr="00C638B7">
              <w:rPr>
                <w:rFonts w:cs="Arial"/>
                <w:sz w:val="24"/>
                <w:szCs w:val="24"/>
              </w:rPr>
              <w:t>sponsor</w:t>
            </w:r>
            <w:r w:rsidRPr="00C638B7">
              <w:rPr>
                <w:rFonts w:cs="Arial"/>
                <w:sz w:val="24"/>
                <w:szCs w:val="24"/>
              </w:rPr>
              <w:t>:</w:t>
            </w:r>
          </w:p>
        </w:tc>
        <w:tc>
          <w:tcPr>
            <w:tcW w:w="5954" w:type="dxa"/>
            <w:tcBorders>
              <w:bottom w:val="single" w:sz="4" w:space="0" w:color="auto"/>
            </w:tcBorders>
          </w:tcPr>
          <w:p w14:paraId="7F433F4B" w14:textId="29F6FF02" w:rsidR="0047040B" w:rsidRPr="00C638B7" w:rsidRDefault="00CF3257" w:rsidP="00083858">
            <w:pPr>
              <w:pStyle w:val="Heading1"/>
              <w:rPr>
                <w:rFonts w:cs="Arial"/>
                <w:b w:val="0"/>
                <w:bCs/>
                <w:sz w:val="24"/>
                <w:szCs w:val="24"/>
              </w:rPr>
            </w:pPr>
            <w:r w:rsidRPr="00CF3257">
              <w:rPr>
                <w:rFonts w:cs="Arial"/>
                <w:b w:val="0"/>
                <w:bCs/>
                <w:sz w:val="24"/>
                <w:szCs w:val="24"/>
              </w:rPr>
              <w:t>Director Environment, Recreation and Infrastructure</w:t>
            </w:r>
          </w:p>
        </w:tc>
      </w:tr>
      <w:tr w:rsidR="0047040B" w:rsidRPr="00C638B7" w14:paraId="32E98E29" w14:textId="77777777">
        <w:tc>
          <w:tcPr>
            <w:tcW w:w="4219" w:type="dxa"/>
          </w:tcPr>
          <w:p w14:paraId="1EBF8826" w14:textId="77777777" w:rsidR="0047040B" w:rsidRPr="00C638B7" w:rsidRDefault="0047040B">
            <w:pPr>
              <w:pStyle w:val="Heading1"/>
              <w:rPr>
                <w:rFonts w:cs="Arial"/>
                <w:sz w:val="24"/>
                <w:szCs w:val="24"/>
              </w:rPr>
            </w:pPr>
            <w:r w:rsidRPr="00C638B7">
              <w:rPr>
                <w:rFonts w:cs="Arial"/>
                <w:sz w:val="24"/>
                <w:szCs w:val="24"/>
              </w:rPr>
              <w:t>Adopted by:</w:t>
            </w:r>
          </w:p>
        </w:tc>
        <w:tc>
          <w:tcPr>
            <w:tcW w:w="5954" w:type="dxa"/>
          </w:tcPr>
          <w:p w14:paraId="34D6E3AF" w14:textId="77777777" w:rsidR="0047040B" w:rsidRPr="00C638B7" w:rsidRDefault="0047040B">
            <w:pPr>
              <w:pStyle w:val="Heading1"/>
              <w:rPr>
                <w:rFonts w:cs="Arial"/>
                <w:b w:val="0"/>
                <w:bCs/>
                <w:sz w:val="24"/>
                <w:szCs w:val="24"/>
              </w:rPr>
            </w:pPr>
            <w:r w:rsidRPr="00C638B7">
              <w:rPr>
                <w:rFonts w:cs="Arial"/>
                <w:b w:val="0"/>
                <w:bCs/>
                <w:sz w:val="24"/>
                <w:szCs w:val="24"/>
              </w:rPr>
              <w:t>Bayside City Council</w:t>
            </w:r>
          </w:p>
        </w:tc>
      </w:tr>
      <w:tr w:rsidR="0047040B" w:rsidRPr="00C638B7" w14:paraId="7B2569CE" w14:textId="77777777">
        <w:tc>
          <w:tcPr>
            <w:tcW w:w="4219" w:type="dxa"/>
          </w:tcPr>
          <w:p w14:paraId="44FF8FB7" w14:textId="77777777" w:rsidR="0047040B" w:rsidRPr="00C638B7" w:rsidRDefault="0047040B">
            <w:pPr>
              <w:pStyle w:val="Heading1"/>
              <w:rPr>
                <w:rFonts w:cs="Arial"/>
                <w:sz w:val="24"/>
                <w:szCs w:val="24"/>
              </w:rPr>
            </w:pPr>
            <w:r w:rsidRPr="00C638B7">
              <w:rPr>
                <w:rFonts w:cs="Arial"/>
                <w:sz w:val="24"/>
                <w:szCs w:val="24"/>
              </w:rPr>
              <w:t>Date adopted:</w:t>
            </w:r>
          </w:p>
        </w:tc>
        <w:tc>
          <w:tcPr>
            <w:tcW w:w="5954" w:type="dxa"/>
          </w:tcPr>
          <w:p w14:paraId="1B392AA3" w14:textId="77777777" w:rsidR="0047040B" w:rsidRPr="00C638B7" w:rsidRDefault="0047040B">
            <w:pPr>
              <w:pStyle w:val="Heading1"/>
              <w:rPr>
                <w:rFonts w:cs="Arial"/>
                <w:b w:val="0"/>
                <w:bCs/>
                <w:sz w:val="24"/>
                <w:szCs w:val="24"/>
              </w:rPr>
            </w:pPr>
            <w:r w:rsidRPr="00C638B7">
              <w:rPr>
                <w:rFonts w:cs="Arial"/>
                <w:b w:val="0"/>
                <w:bCs/>
                <w:sz w:val="24"/>
                <w:szCs w:val="24"/>
              </w:rPr>
              <w:t>[insert meeting date/reference number]</w:t>
            </w:r>
          </w:p>
        </w:tc>
      </w:tr>
      <w:tr w:rsidR="0047040B" w:rsidRPr="00C638B7" w14:paraId="503A1431" w14:textId="77777777">
        <w:tc>
          <w:tcPr>
            <w:tcW w:w="4219" w:type="dxa"/>
          </w:tcPr>
          <w:p w14:paraId="655905AF" w14:textId="77777777" w:rsidR="0047040B" w:rsidRPr="00C638B7" w:rsidRDefault="0047040B">
            <w:pPr>
              <w:pStyle w:val="Heading1"/>
              <w:rPr>
                <w:rFonts w:cs="Arial"/>
                <w:sz w:val="24"/>
                <w:szCs w:val="24"/>
              </w:rPr>
            </w:pPr>
            <w:r w:rsidRPr="00C638B7">
              <w:rPr>
                <w:rFonts w:cs="Arial"/>
                <w:sz w:val="24"/>
                <w:szCs w:val="24"/>
              </w:rPr>
              <w:t>Scheduled review:</w:t>
            </w:r>
          </w:p>
        </w:tc>
        <w:tc>
          <w:tcPr>
            <w:tcW w:w="5954" w:type="dxa"/>
          </w:tcPr>
          <w:p w14:paraId="233C0289" w14:textId="77777777" w:rsidR="0047040B" w:rsidRPr="00C638B7" w:rsidRDefault="0047040B">
            <w:pPr>
              <w:pStyle w:val="Heading1"/>
              <w:rPr>
                <w:rFonts w:cs="Arial"/>
                <w:b w:val="0"/>
                <w:bCs/>
                <w:sz w:val="24"/>
                <w:szCs w:val="24"/>
              </w:rPr>
            </w:pPr>
            <w:r w:rsidRPr="00C638B7">
              <w:rPr>
                <w:rFonts w:cs="Arial"/>
                <w:b w:val="0"/>
                <w:bCs/>
                <w:sz w:val="24"/>
                <w:szCs w:val="24"/>
              </w:rPr>
              <w:t>[insert month and/or year]</w:t>
            </w:r>
          </w:p>
        </w:tc>
      </w:tr>
      <w:tr w:rsidR="0036236D" w:rsidRPr="00C638B7" w14:paraId="17F2A193" w14:textId="77777777">
        <w:tc>
          <w:tcPr>
            <w:tcW w:w="4219" w:type="dxa"/>
          </w:tcPr>
          <w:p w14:paraId="5F256E25" w14:textId="77777777" w:rsidR="0036236D" w:rsidRPr="00C638B7" w:rsidRDefault="0036236D">
            <w:pPr>
              <w:pStyle w:val="Heading1"/>
              <w:rPr>
                <w:rFonts w:cs="Arial"/>
                <w:sz w:val="24"/>
                <w:szCs w:val="24"/>
              </w:rPr>
            </w:pPr>
            <w:r w:rsidRPr="00C638B7">
              <w:rPr>
                <w:rFonts w:cs="Arial"/>
                <w:sz w:val="24"/>
                <w:szCs w:val="24"/>
              </w:rPr>
              <w:t>Document Reference:</w:t>
            </w:r>
          </w:p>
        </w:tc>
        <w:tc>
          <w:tcPr>
            <w:tcW w:w="5954" w:type="dxa"/>
          </w:tcPr>
          <w:p w14:paraId="39FF732F" w14:textId="0A9D9E36" w:rsidR="0036236D" w:rsidRPr="00C638B7" w:rsidRDefault="00227A08">
            <w:pPr>
              <w:pStyle w:val="Heading1"/>
              <w:rPr>
                <w:rFonts w:cs="Arial"/>
                <w:b w:val="0"/>
                <w:bCs/>
                <w:sz w:val="24"/>
                <w:szCs w:val="24"/>
              </w:rPr>
            </w:pPr>
            <w:r w:rsidRPr="00227A08">
              <w:rPr>
                <w:rFonts w:cs="Arial"/>
                <w:b w:val="0"/>
                <w:bCs/>
                <w:sz w:val="24"/>
                <w:szCs w:val="24"/>
              </w:rPr>
              <w:t>DOC/22/1013</w:t>
            </w:r>
          </w:p>
        </w:tc>
      </w:tr>
    </w:tbl>
    <w:p w14:paraId="15FB5F1E" w14:textId="77777777" w:rsidR="005A6512" w:rsidRPr="00C638B7" w:rsidRDefault="005A6512" w:rsidP="005A6512">
      <w:pPr>
        <w:pStyle w:val="heading5"/>
        <w:ind w:left="426"/>
        <w:jc w:val="both"/>
        <w:rPr>
          <w:rFonts w:ascii="Arial" w:hAnsi="Arial" w:cs="Arial"/>
          <w:bCs/>
          <w:iCs/>
          <w:szCs w:val="24"/>
        </w:rPr>
      </w:pPr>
    </w:p>
    <w:p w14:paraId="2FEA34B1" w14:textId="4196541F" w:rsidR="0047040B" w:rsidRPr="00C638B7" w:rsidRDefault="0047040B" w:rsidP="005D6F33">
      <w:pPr>
        <w:pStyle w:val="heading5"/>
        <w:numPr>
          <w:ilvl w:val="0"/>
          <w:numId w:val="9"/>
        </w:numPr>
        <w:jc w:val="both"/>
        <w:rPr>
          <w:rFonts w:ascii="Arial" w:hAnsi="Arial" w:cs="Arial"/>
          <w:bCs/>
          <w:iCs/>
          <w:szCs w:val="24"/>
        </w:rPr>
      </w:pPr>
      <w:r w:rsidRPr="00C638B7">
        <w:rPr>
          <w:rFonts w:ascii="Arial" w:hAnsi="Arial" w:cs="Arial"/>
          <w:bCs/>
          <w:iCs/>
          <w:szCs w:val="24"/>
        </w:rPr>
        <w:t>Policy intent</w:t>
      </w:r>
    </w:p>
    <w:p w14:paraId="3A52A5C7" w14:textId="77777777" w:rsidR="00025391" w:rsidRPr="00C638B7" w:rsidRDefault="00025391" w:rsidP="00025391">
      <w:pPr>
        <w:pStyle w:val="heading5"/>
        <w:tabs>
          <w:tab w:val="left" w:pos="2805"/>
        </w:tabs>
        <w:jc w:val="both"/>
        <w:rPr>
          <w:rFonts w:ascii="Arial" w:hAnsi="Arial" w:cs="Arial"/>
          <w:b w:val="0"/>
          <w:bCs/>
          <w:szCs w:val="24"/>
        </w:rPr>
      </w:pPr>
      <w:bookmarkStart w:id="1" w:name="_Hlk94009771"/>
      <w:r w:rsidRPr="00C638B7">
        <w:rPr>
          <w:rFonts w:ascii="Arial" w:hAnsi="Arial" w:cs="Arial"/>
          <w:b w:val="0"/>
          <w:bCs/>
          <w:szCs w:val="24"/>
        </w:rPr>
        <w:t xml:space="preserve">The purpose of this Policy is </w:t>
      </w:r>
      <w:bookmarkStart w:id="2" w:name="_Hlk98925795"/>
      <w:r w:rsidRPr="00C638B7">
        <w:rPr>
          <w:rFonts w:ascii="Arial" w:hAnsi="Arial" w:cs="Arial"/>
          <w:b w:val="0"/>
          <w:bCs/>
          <w:szCs w:val="24"/>
        </w:rPr>
        <w:t>to provide a strategic framework for the provision of additional necessary infrastructure via a process which enables costs to be recovered from benefiting parties in a fair and equitable manner</w:t>
      </w:r>
      <w:bookmarkEnd w:id="2"/>
      <w:r w:rsidRPr="00C638B7">
        <w:rPr>
          <w:rFonts w:ascii="Arial" w:hAnsi="Arial" w:cs="Arial"/>
          <w:b w:val="0"/>
          <w:bCs/>
          <w:szCs w:val="24"/>
        </w:rPr>
        <w:t xml:space="preserve">.  </w:t>
      </w:r>
    </w:p>
    <w:p w14:paraId="4601CEB4" w14:textId="77777777" w:rsidR="00025391" w:rsidRPr="00C638B7" w:rsidRDefault="00025391" w:rsidP="00B23503">
      <w:pPr>
        <w:pStyle w:val="heading5"/>
        <w:tabs>
          <w:tab w:val="left" w:pos="2805"/>
        </w:tabs>
        <w:jc w:val="both"/>
        <w:rPr>
          <w:rFonts w:ascii="Arial" w:hAnsi="Arial" w:cs="Arial"/>
          <w:b w:val="0"/>
          <w:bCs/>
          <w:szCs w:val="24"/>
        </w:rPr>
      </w:pPr>
    </w:p>
    <w:p w14:paraId="3C5EF89D" w14:textId="61D64020" w:rsidR="00FB7568" w:rsidRDefault="00FB7568" w:rsidP="00025391">
      <w:pPr>
        <w:pStyle w:val="heading5"/>
        <w:tabs>
          <w:tab w:val="left" w:pos="2805"/>
        </w:tabs>
        <w:jc w:val="both"/>
        <w:rPr>
          <w:rFonts w:ascii="Arial" w:hAnsi="Arial" w:cs="Arial"/>
          <w:b w:val="0"/>
          <w:bCs/>
          <w:szCs w:val="24"/>
        </w:rPr>
      </w:pPr>
      <w:r w:rsidRPr="00C638B7">
        <w:rPr>
          <w:rFonts w:ascii="Arial" w:hAnsi="Arial" w:cs="Arial"/>
          <w:b w:val="0"/>
          <w:bCs/>
          <w:szCs w:val="24"/>
        </w:rPr>
        <w:t xml:space="preserve">Under the provisions of Section 163 of the </w:t>
      </w:r>
      <w:r w:rsidRPr="00CB0BCB">
        <w:rPr>
          <w:rFonts w:ascii="Arial" w:hAnsi="Arial" w:cs="Arial"/>
          <w:b w:val="0"/>
          <w:bCs/>
          <w:i/>
          <w:iCs/>
          <w:szCs w:val="24"/>
        </w:rPr>
        <w:t>Local Government Act 1989</w:t>
      </w:r>
      <w:r w:rsidRPr="00C638B7">
        <w:rPr>
          <w:rFonts w:ascii="Arial" w:hAnsi="Arial" w:cs="Arial"/>
          <w:b w:val="0"/>
          <w:bCs/>
          <w:szCs w:val="24"/>
        </w:rPr>
        <w:t>, Council has the power to raise funds for works that are of special benefit to properties within the Municipality. Where Council determines that improvement to existing infrastructure is necessary in order to improve the public amenity</w:t>
      </w:r>
      <w:r w:rsidR="009E77B9">
        <w:rPr>
          <w:rFonts w:ascii="Arial" w:hAnsi="Arial" w:cs="Arial"/>
          <w:b w:val="0"/>
          <w:bCs/>
          <w:szCs w:val="24"/>
        </w:rPr>
        <w:t xml:space="preserve"> </w:t>
      </w:r>
      <w:r w:rsidRPr="00C638B7">
        <w:rPr>
          <w:rFonts w:ascii="Arial" w:hAnsi="Arial" w:cs="Arial"/>
          <w:b w:val="0"/>
          <w:bCs/>
          <w:szCs w:val="24"/>
        </w:rPr>
        <w:t>and</w:t>
      </w:r>
      <w:r w:rsidR="009E77B9">
        <w:rPr>
          <w:rFonts w:ascii="Arial" w:hAnsi="Arial" w:cs="Arial"/>
          <w:b w:val="0"/>
          <w:bCs/>
          <w:szCs w:val="24"/>
        </w:rPr>
        <w:t xml:space="preserve"> to</w:t>
      </w:r>
      <w:r w:rsidRPr="00C638B7">
        <w:rPr>
          <w:rFonts w:ascii="Arial" w:hAnsi="Arial" w:cs="Arial"/>
          <w:b w:val="0"/>
          <w:bCs/>
          <w:szCs w:val="24"/>
        </w:rPr>
        <w:t xml:space="preserve"> ensure the safety and </w:t>
      </w:r>
      <w:r w:rsidR="004363E1" w:rsidRPr="00C638B7">
        <w:rPr>
          <w:rFonts w:ascii="Arial" w:hAnsi="Arial" w:cs="Arial"/>
          <w:b w:val="0"/>
          <w:bCs/>
          <w:szCs w:val="24"/>
        </w:rPr>
        <w:t>wellbeing</w:t>
      </w:r>
      <w:r w:rsidRPr="00C638B7">
        <w:rPr>
          <w:rFonts w:ascii="Arial" w:hAnsi="Arial" w:cs="Arial"/>
          <w:b w:val="0"/>
          <w:bCs/>
          <w:szCs w:val="24"/>
        </w:rPr>
        <w:t xml:space="preserve"> of the community, it may declare and levy special rates and charges.</w:t>
      </w:r>
    </w:p>
    <w:bookmarkEnd w:id="1"/>
    <w:p w14:paraId="2029B5D1" w14:textId="77777777" w:rsidR="0047040B" w:rsidRPr="00C638B7" w:rsidRDefault="0047040B" w:rsidP="00B04481">
      <w:pPr>
        <w:pStyle w:val="Heading1"/>
        <w:spacing w:before="0"/>
        <w:jc w:val="both"/>
        <w:rPr>
          <w:rFonts w:cs="Arial"/>
          <w:b w:val="0"/>
          <w:bCs/>
          <w:sz w:val="24"/>
          <w:szCs w:val="24"/>
        </w:rPr>
      </w:pPr>
    </w:p>
    <w:p w14:paraId="7B30E38C" w14:textId="77777777" w:rsidR="0047040B" w:rsidRPr="00C638B7" w:rsidRDefault="00B61910" w:rsidP="005D6F33">
      <w:pPr>
        <w:pStyle w:val="heading5"/>
        <w:numPr>
          <w:ilvl w:val="0"/>
          <w:numId w:val="9"/>
        </w:numPr>
        <w:jc w:val="both"/>
        <w:rPr>
          <w:rFonts w:ascii="Arial" w:hAnsi="Arial" w:cs="Arial"/>
          <w:bCs/>
          <w:iCs/>
          <w:szCs w:val="24"/>
        </w:rPr>
      </w:pPr>
      <w:r w:rsidRPr="00C638B7">
        <w:rPr>
          <w:rFonts w:ascii="Arial" w:hAnsi="Arial" w:cs="Arial"/>
          <w:bCs/>
          <w:iCs/>
          <w:szCs w:val="24"/>
        </w:rPr>
        <w:t>Policy purpose</w:t>
      </w:r>
    </w:p>
    <w:p w14:paraId="33B43CD3" w14:textId="77777777" w:rsidR="004363E1" w:rsidRDefault="004363E1" w:rsidP="00FB7568">
      <w:pPr>
        <w:pStyle w:val="heading5"/>
        <w:tabs>
          <w:tab w:val="left" w:pos="2805"/>
        </w:tabs>
        <w:jc w:val="both"/>
        <w:rPr>
          <w:rFonts w:ascii="Arial" w:hAnsi="Arial" w:cs="Arial"/>
          <w:b w:val="0"/>
          <w:bCs/>
          <w:szCs w:val="24"/>
        </w:rPr>
      </w:pPr>
      <w:r w:rsidRPr="004363E1">
        <w:rPr>
          <w:rFonts w:ascii="Arial" w:hAnsi="Arial" w:cs="Arial"/>
          <w:b w:val="0"/>
          <w:bCs/>
          <w:szCs w:val="24"/>
        </w:rPr>
        <w:t xml:space="preserve">Council uses its powers under the </w:t>
      </w:r>
      <w:r w:rsidRPr="00CB0BCB">
        <w:rPr>
          <w:rFonts w:ascii="Arial" w:hAnsi="Arial" w:cs="Arial"/>
          <w:b w:val="0"/>
          <w:bCs/>
          <w:i/>
          <w:iCs/>
          <w:szCs w:val="24"/>
        </w:rPr>
        <w:t>Planning and Environment Act 1987</w:t>
      </w:r>
      <w:r w:rsidRPr="004363E1">
        <w:rPr>
          <w:rFonts w:ascii="Arial" w:hAnsi="Arial" w:cs="Arial"/>
          <w:b w:val="0"/>
          <w:bCs/>
          <w:szCs w:val="24"/>
        </w:rPr>
        <w:t xml:space="preserve"> and the </w:t>
      </w:r>
      <w:r w:rsidRPr="00CB0BCB">
        <w:rPr>
          <w:rFonts w:ascii="Arial" w:hAnsi="Arial" w:cs="Arial"/>
          <w:b w:val="0"/>
          <w:bCs/>
          <w:i/>
          <w:iCs/>
          <w:szCs w:val="24"/>
        </w:rPr>
        <w:t>Subdivision Act 1989</w:t>
      </w:r>
      <w:r w:rsidRPr="004363E1">
        <w:rPr>
          <w:rFonts w:ascii="Arial" w:hAnsi="Arial" w:cs="Arial"/>
          <w:b w:val="0"/>
          <w:bCs/>
          <w:szCs w:val="24"/>
        </w:rPr>
        <w:t xml:space="preserve"> to require developers to provide the infrastructure needed in new estates. These costs are included in the land sale price. However, Council cannot retrospectively apply these powers to land that was subdivided in the past without the current standard of infrastructure.</w:t>
      </w:r>
    </w:p>
    <w:p w14:paraId="01E07C33" w14:textId="77777777" w:rsidR="004363E1" w:rsidRDefault="004363E1" w:rsidP="00FB7568">
      <w:pPr>
        <w:pStyle w:val="heading5"/>
        <w:tabs>
          <w:tab w:val="left" w:pos="2805"/>
        </w:tabs>
        <w:jc w:val="both"/>
        <w:rPr>
          <w:rFonts w:ascii="Arial" w:hAnsi="Arial" w:cs="Arial"/>
          <w:b w:val="0"/>
          <w:bCs/>
          <w:szCs w:val="24"/>
        </w:rPr>
      </w:pPr>
    </w:p>
    <w:p w14:paraId="1896767B" w14:textId="248E4B03" w:rsidR="00FB7568" w:rsidRPr="00C638B7" w:rsidRDefault="00FB7568" w:rsidP="00FB7568">
      <w:pPr>
        <w:pStyle w:val="heading5"/>
        <w:tabs>
          <w:tab w:val="left" w:pos="2805"/>
        </w:tabs>
        <w:jc w:val="both"/>
        <w:rPr>
          <w:rFonts w:ascii="Arial" w:hAnsi="Arial" w:cs="Arial"/>
          <w:b w:val="0"/>
          <w:bCs/>
          <w:szCs w:val="24"/>
        </w:rPr>
      </w:pPr>
      <w:r w:rsidRPr="00C638B7">
        <w:rPr>
          <w:rFonts w:ascii="Arial" w:hAnsi="Arial" w:cs="Arial"/>
          <w:b w:val="0"/>
          <w:bCs/>
          <w:szCs w:val="24"/>
        </w:rPr>
        <w:t>Council recognises it does not have the financial resources to fully fund the upgrade of all existing infrastructure to current standards. Council considers that infrastructure improvements can provide special benefits to abutting properties. These benefits can include improvements in amenity, access, safety or economic benefits such as increased land value.</w:t>
      </w:r>
    </w:p>
    <w:p w14:paraId="3CA4AA3E" w14:textId="143D0A51" w:rsidR="00FB7568" w:rsidRDefault="00FB7568" w:rsidP="00D534F4">
      <w:pPr>
        <w:pStyle w:val="heading5"/>
        <w:tabs>
          <w:tab w:val="left" w:pos="2805"/>
        </w:tabs>
        <w:jc w:val="both"/>
        <w:rPr>
          <w:rFonts w:ascii="Arial" w:hAnsi="Arial" w:cs="Arial"/>
          <w:szCs w:val="24"/>
        </w:rPr>
      </w:pPr>
    </w:p>
    <w:p w14:paraId="36FF525C" w14:textId="03A1A621" w:rsidR="0047040B" w:rsidRDefault="00DB443C" w:rsidP="00B04481">
      <w:pPr>
        <w:pStyle w:val="heading5"/>
        <w:tabs>
          <w:tab w:val="left" w:pos="2805"/>
        </w:tabs>
        <w:jc w:val="both"/>
        <w:rPr>
          <w:rFonts w:ascii="Arial" w:hAnsi="Arial" w:cs="Arial"/>
          <w:b w:val="0"/>
          <w:bCs/>
          <w:szCs w:val="24"/>
        </w:rPr>
      </w:pPr>
      <w:r w:rsidRPr="00DB443C">
        <w:rPr>
          <w:rFonts w:ascii="Arial" w:hAnsi="Arial" w:cs="Arial"/>
          <w:b w:val="0"/>
          <w:bCs/>
          <w:szCs w:val="24"/>
        </w:rPr>
        <w:t xml:space="preserve">It is essential Council recognises the importance </w:t>
      </w:r>
      <w:r w:rsidR="00843686">
        <w:rPr>
          <w:rFonts w:ascii="Arial" w:hAnsi="Arial" w:cs="Arial"/>
          <w:b w:val="0"/>
          <w:bCs/>
          <w:szCs w:val="24"/>
        </w:rPr>
        <w:t xml:space="preserve">in </w:t>
      </w:r>
      <w:r w:rsidRPr="00DB443C">
        <w:rPr>
          <w:rFonts w:ascii="Arial" w:hAnsi="Arial" w:cs="Arial"/>
          <w:b w:val="0"/>
          <w:bCs/>
          <w:szCs w:val="24"/>
        </w:rPr>
        <w:t>prioritis</w:t>
      </w:r>
      <w:r w:rsidR="00843686">
        <w:rPr>
          <w:rFonts w:ascii="Arial" w:hAnsi="Arial" w:cs="Arial"/>
          <w:b w:val="0"/>
          <w:bCs/>
          <w:szCs w:val="24"/>
        </w:rPr>
        <w:t xml:space="preserve">ing </w:t>
      </w:r>
      <w:r w:rsidR="003217B8">
        <w:rPr>
          <w:rFonts w:ascii="Arial" w:hAnsi="Arial" w:cs="Arial"/>
          <w:b w:val="0"/>
          <w:bCs/>
          <w:szCs w:val="24"/>
        </w:rPr>
        <w:t xml:space="preserve">when identified </w:t>
      </w:r>
      <w:r w:rsidRPr="00DB443C">
        <w:rPr>
          <w:rFonts w:ascii="Arial" w:hAnsi="Arial" w:cs="Arial"/>
          <w:b w:val="0"/>
          <w:bCs/>
          <w:szCs w:val="24"/>
        </w:rPr>
        <w:t xml:space="preserve">key Council outcomes </w:t>
      </w:r>
      <w:r w:rsidR="003217B8">
        <w:rPr>
          <w:rFonts w:ascii="Arial" w:hAnsi="Arial" w:cs="Arial"/>
          <w:b w:val="0"/>
          <w:bCs/>
          <w:szCs w:val="24"/>
        </w:rPr>
        <w:t xml:space="preserve">can be </w:t>
      </w:r>
      <w:r w:rsidRPr="00DB443C">
        <w:rPr>
          <w:rFonts w:ascii="Arial" w:hAnsi="Arial" w:cs="Arial"/>
          <w:b w:val="0"/>
          <w:bCs/>
          <w:szCs w:val="24"/>
        </w:rPr>
        <w:t>delivered in association with various Council projects</w:t>
      </w:r>
      <w:r w:rsidR="003217B8">
        <w:rPr>
          <w:rFonts w:ascii="Arial" w:hAnsi="Arial" w:cs="Arial"/>
          <w:b w:val="0"/>
          <w:bCs/>
          <w:szCs w:val="24"/>
        </w:rPr>
        <w:t xml:space="preserve">, such as projects relating to </w:t>
      </w:r>
      <w:r w:rsidRPr="00DB443C">
        <w:rPr>
          <w:rFonts w:ascii="Arial" w:hAnsi="Arial" w:cs="Arial"/>
          <w:b w:val="0"/>
          <w:bCs/>
          <w:szCs w:val="24"/>
        </w:rPr>
        <w:t xml:space="preserve">public open space and the </w:t>
      </w:r>
      <w:r w:rsidR="001149B4">
        <w:rPr>
          <w:rFonts w:ascii="Arial" w:hAnsi="Arial" w:cs="Arial"/>
          <w:b w:val="0"/>
          <w:bCs/>
          <w:szCs w:val="24"/>
        </w:rPr>
        <w:t xml:space="preserve">general </w:t>
      </w:r>
      <w:r w:rsidR="003217B8">
        <w:rPr>
          <w:rFonts w:ascii="Arial" w:hAnsi="Arial" w:cs="Arial"/>
          <w:b w:val="0"/>
          <w:bCs/>
          <w:szCs w:val="24"/>
        </w:rPr>
        <w:t>road/</w:t>
      </w:r>
      <w:r w:rsidRPr="00DB443C">
        <w:rPr>
          <w:rFonts w:ascii="Arial" w:hAnsi="Arial" w:cs="Arial"/>
          <w:b w:val="0"/>
          <w:bCs/>
          <w:szCs w:val="24"/>
        </w:rPr>
        <w:t xml:space="preserve">street network.  </w:t>
      </w:r>
    </w:p>
    <w:p w14:paraId="6B6EEE84" w14:textId="19C13671" w:rsidR="00CF3257" w:rsidRPr="00CF3257" w:rsidRDefault="00CF3257" w:rsidP="00B04481">
      <w:pPr>
        <w:pStyle w:val="heading5"/>
        <w:tabs>
          <w:tab w:val="left" w:pos="2805"/>
        </w:tabs>
        <w:jc w:val="both"/>
        <w:rPr>
          <w:rFonts w:ascii="Arial" w:hAnsi="Arial" w:cs="Arial"/>
          <w:szCs w:val="24"/>
        </w:rPr>
      </w:pPr>
    </w:p>
    <w:p w14:paraId="24524387" w14:textId="28B0BC27" w:rsidR="00CF3257" w:rsidRPr="005D6F33" w:rsidRDefault="00CF3257" w:rsidP="005D6F33">
      <w:pPr>
        <w:pStyle w:val="heading5"/>
        <w:numPr>
          <w:ilvl w:val="0"/>
          <w:numId w:val="9"/>
        </w:numPr>
        <w:jc w:val="both"/>
        <w:rPr>
          <w:rFonts w:ascii="Arial" w:hAnsi="Arial" w:cs="Arial"/>
          <w:bCs/>
          <w:iCs/>
          <w:szCs w:val="24"/>
        </w:rPr>
      </w:pPr>
      <w:r w:rsidRPr="005D6F33">
        <w:rPr>
          <w:rFonts w:ascii="Arial" w:hAnsi="Arial" w:cs="Arial"/>
          <w:bCs/>
          <w:iCs/>
          <w:szCs w:val="24"/>
        </w:rPr>
        <w:t>Glossary – Definitions and Abbreviations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7300"/>
      </w:tblGrid>
      <w:tr w:rsidR="00CF3257" w:rsidRPr="00C638B7" w14:paraId="45B7E9E8" w14:textId="77777777" w:rsidTr="00C808A1">
        <w:tc>
          <w:tcPr>
            <w:tcW w:w="2304" w:type="dxa"/>
          </w:tcPr>
          <w:p w14:paraId="6BA77515" w14:textId="77777777" w:rsidR="00CF3257" w:rsidRPr="00C638B7" w:rsidRDefault="00CF3257" w:rsidP="00C808A1">
            <w:pPr>
              <w:pStyle w:val="Heading1"/>
              <w:spacing w:before="0"/>
              <w:rPr>
                <w:rFonts w:cs="Arial"/>
                <w:sz w:val="24"/>
                <w:szCs w:val="24"/>
              </w:rPr>
            </w:pPr>
            <w:r w:rsidRPr="00C638B7">
              <w:rPr>
                <w:rFonts w:cs="Arial"/>
                <w:sz w:val="24"/>
                <w:szCs w:val="24"/>
              </w:rPr>
              <w:lastRenderedPageBreak/>
              <w:t>Term</w:t>
            </w:r>
          </w:p>
        </w:tc>
        <w:tc>
          <w:tcPr>
            <w:tcW w:w="7300" w:type="dxa"/>
          </w:tcPr>
          <w:p w14:paraId="12439500" w14:textId="77777777" w:rsidR="00CF3257" w:rsidRPr="00C638B7" w:rsidRDefault="00CF3257" w:rsidP="00C808A1">
            <w:pPr>
              <w:pStyle w:val="Heading1"/>
              <w:spacing w:before="0"/>
              <w:rPr>
                <w:rFonts w:cs="Arial"/>
                <w:sz w:val="24"/>
                <w:szCs w:val="24"/>
              </w:rPr>
            </w:pPr>
            <w:r w:rsidRPr="00C638B7">
              <w:rPr>
                <w:rFonts w:cs="Arial"/>
                <w:sz w:val="24"/>
                <w:szCs w:val="24"/>
              </w:rPr>
              <w:t>Meaning</w:t>
            </w:r>
          </w:p>
        </w:tc>
      </w:tr>
      <w:tr w:rsidR="00202C71" w:rsidRPr="00C638B7" w14:paraId="42B7987C" w14:textId="77777777" w:rsidTr="00C808A1">
        <w:tc>
          <w:tcPr>
            <w:tcW w:w="2304" w:type="dxa"/>
          </w:tcPr>
          <w:p w14:paraId="6FB284DB" w14:textId="298550BE" w:rsidR="00202C71" w:rsidRPr="00202C71" w:rsidRDefault="00202C71" w:rsidP="00202C71">
            <w:pPr>
              <w:pStyle w:val="Heading1"/>
              <w:spacing w:before="0"/>
              <w:rPr>
                <w:rFonts w:cs="Arial"/>
                <w:b w:val="0"/>
                <w:bCs/>
                <w:sz w:val="24"/>
                <w:szCs w:val="24"/>
              </w:rPr>
            </w:pPr>
            <w:r w:rsidRPr="00202C71">
              <w:rPr>
                <w:rFonts w:cs="Arial"/>
                <w:b w:val="0"/>
                <w:bCs/>
                <w:sz w:val="24"/>
                <w:szCs w:val="24"/>
              </w:rPr>
              <w:t>Act</w:t>
            </w:r>
          </w:p>
        </w:tc>
        <w:tc>
          <w:tcPr>
            <w:tcW w:w="7300" w:type="dxa"/>
          </w:tcPr>
          <w:p w14:paraId="2E9FC790" w14:textId="7A774D34" w:rsidR="00202C71" w:rsidRPr="00202C71" w:rsidRDefault="00202C71" w:rsidP="00202C71">
            <w:pPr>
              <w:pStyle w:val="Heading1"/>
              <w:spacing w:before="0"/>
              <w:rPr>
                <w:rFonts w:cs="Arial"/>
                <w:b w:val="0"/>
                <w:bCs/>
                <w:sz w:val="24"/>
                <w:szCs w:val="24"/>
              </w:rPr>
            </w:pPr>
            <w:r w:rsidRPr="00202C71">
              <w:rPr>
                <w:rFonts w:cs="Arial"/>
                <w:b w:val="0"/>
                <w:bCs/>
                <w:sz w:val="24"/>
                <w:szCs w:val="24"/>
              </w:rPr>
              <w:t>Local Government Act 1989</w:t>
            </w:r>
          </w:p>
        </w:tc>
      </w:tr>
      <w:tr w:rsidR="00202C71" w:rsidRPr="00C638B7" w14:paraId="002A45B6" w14:textId="77777777" w:rsidTr="00C808A1">
        <w:tc>
          <w:tcPr>
            <w:tcW w:w="2304" w:type="dxa"/>
          </w:tcPr>
          <w:p w14:paraId="622AB9D2" w14:textId="77777777" w:rsidR="00202C71" w:rsidRPr="00C638B7" w:rsidRDefault="00202C71" w:rsidP="00202C71">
            <w:pPr>
              <w:pStyle w:val="Heading1"/>
              <w:spacing w:before="0"/>
              <w:rPr>
                <w:rFonts w:cs="Arial"/>
                <w:b w:val="0"/>
                <w:bCs/>
                <w:sz w:val="24"/>
                <w:szCs w:val="24"/>
              </w:rPr>
            </w:pPr>
            <w:r w:rsidRPr="00C638B7">
              <w:rPr>
                <w:rFonts w:cs="Arial"/>
                <w:b w:val="0"/>
                <w:bCs/>
                <w:sz w:val="24"/>
                <w:szCs w:val="24"/>
              </w:rPr>
              <w:t>Benefit Ratio</w:t>
            </w:r>
          </w:p>
          <w:p w14:paraId="5B7C7BFC" w14:textId="77777777" w:rsidR="00202C71" w:rsidRPr="00202C71" w:rsidRDefault="00202C71" w:rsidP="00202C71">
            <w:pPr>
              <w:pStyle w:val="Heading1"/>
              <w:spacing w:before="0"/>
              <w:rPr>
                <w:rFonts w:cs="Arial"/>
                <w:b w:val="0"/>
                <w:bCs/>
                <w:sz w:val="24"/>
                <w:szCs w:val="24"/>
              </w:rPr>
            </w:pPr>
          </w:p>
        </w:tc>
        <w:tc>
          <w:tcPr>
            <w:tcW w:w="7300" w:type="dxa"/>
          </w:tcPr>
          <w:p w14:paraId="51AD4B30" w14:textId="1C2795BE" w:rsidR="00202C71" w:rsidRPr="00202C71" w:rsidRDefault="00202C71" w:rsidP="00202C71">
            <w:pPr>
              <w:pStyle w:val="Heading1"/>
              <w:spacing w:before="0"/>
              <w:rPr>
                <w:rFonts w:cs="Arial"/>
                <w:b w:val="0"/>
                <w:bCs/>
                <w:sz w:val="24"/>
                <w:szCs w:val="24"/>
              </w:rPr>
            </w:pPr>
            <w:r w:rsidRPr="00202C71">
              <w:rPr>
                <w:rFonts w:cs="Arial"/>
                <w:b w:val="0"/>
                <w:bCs/>
                <w:sz w:val="24"/>
                <w:szCs w:val="24"/>
              </w:rPr>
              <w:t>The costs to be incurred are required to be fairly divided proportionately to the benefits received. Those included in the scheme and levied shall only be required to meet their fair share of the costs based on the relative proportion of special benefit they receive.</w:t>
            </w:r>
          </w:p>
        </w:tc>
      </w:tr>
      <w:tr w:rsidR="00CF3257" w:rsidRPr="00C638B7" w14:paraId="58934BF9" w14:textId="77777777" w:rsidTr="00C808A1">
        <w:tc>
          <w:tcPr>
            <w:tcW w:w="2304" w:type="dxa"/>
          </w:tcPr>
          <w:p w14:paraId="3B953901" w14:textId="77777777" w:rsidR="00CF3257" w:rsidRPr="00C638B7" w:rsidRDefault="00CF3257" w:rsidP="00C808A1">
            <w:pPr>
              <w:pStyle w:val="Heading1"/>
              <w:spacing w:before="0"/>
              <w:rPr>
                <w:rFonts w:cs="Arial"/>
                <w:b w:val="0"/>
                <w:bCs/>
                <w:sz w:val="24"/>
                <w:szCs w:val="24"/>
              </w:rPr>
            </w:pPr>
            <w:r w:rsidRPr="00C638B7">
              <w:rPr>
                <w:rFonts w:cs="Arial"/>
                <w:b w:val="0"/>
                <w:bCs/>
                <w:sz w:val="24"/>
                <w:szCs w:val="24"/>
              </w:rPr>
              <w:t>Council</w:t>
            </w:r>
          </w:p>
        </w:tc>
        <w:tc>
          <w:tcPr>
            <w:tcW w:w="7300" w:type="dxa"/>
          </w:tcPr>
          <w:p w14:paraId="66B8BF64" w14:textId="77777777" w:rsidR="00CF3257" w:rsidRPr="00C638B7" w:rsidRDefault="00CF3257" w:rsidP="00C808A1">
            <w:pPr>
              <w:pStyle w:val="Default"/>
            </w:pPr>
            <w:r w:rsidRPr="00C638B7">
              <w:t xml:space="preserve">means Bayside City Council, being a body corporate constituted as a municipal Council under the </w:t>
            </w:r>
            <w:r w:rsidRPr="00C638B7">
              <w:rPr>
                <w:i/>
                <w:iCs/>
              </w:rPr>
              <w:t xml:space="preserve">Local Government Act 1989. </w:t>
            </w:r>
          </w:p>
        </w:tc>
      </w:tr>
      <w:tr w:rsidR="00CF3257" w:rsidRPr="00C638B7" w14:paraId="73FA9455" w14:textId="77777777" w:rsidTr="00C808A1">
        <w:tc>
          <w:tcPr>
            <w:tcW w:w="2304" w:type="dxa"/>
          </w:tcPr>
          <w:p w14:paraId="25D677D6" w14:textId="77777777" w:rsidR="00CF3257" w:rsidRPr="00C638B7" w:rsidRDefault="00CF3257" w:rsidP="00C808A1">
            <w:pPr>
              <w:pStyle w:val="Heading1"/>
              <w:spacing w:before="0"/>
              <w:rPr>
                <w:rFonts w:cs="Arial"/>
                <w:b w:val="0"/>
                <w:bCs/>
                <w:sz w:val="24"/>
                <w:szCs w:val="24"/>
              </w:rPr>
            </w:pPr>
            <w:r w:rsidRPr="00C638B7">
              <w:rPr>
                <w:rFonts w:cs="Arial"/>
                <w:b w:val="0"/>
                <w:bCs/>
                <w:sz w:val="24"/>
                <w:szCs w:val="24"/>
              </w:rPr>
              <w:t>Councillors</w:t>
            </w:r>
          </w:p>
        </w:tc>
        <w:tc>
          <w:tcPr>
            <w:tcW w:w="7300" w:type="dxa"/>
          </w:tcPr>
          <w:p w14:paraId="2FC00131" w14:textId="77777777" w:rsidR="00CF3257" w:rsidRPr="00C638B7" w:rsidRDefault="00CF3257" w:rsidP="00C808A1">
            <w:pPr>
              <w:pStyle w:val="Default"/>
            </w:pPr>
            <w:r w:rsidRPr="00C638B7">
              <w:t xml:space="preserve">means the individuals holding the office of a member of Bayside City Council. </w:t>
            </w:r>
          </w:p>
        </w:tc>
      </w:tr>
      <w:tr w:rsidR="00CF3257" w:rsidRPr="00C638B7" w14:paraId="155BB408" w14:textId="77777777" w:rsidTr="00202C71">
        <w:trPr>
          <w:trHeight w:val="729"/>
        </w:trPr>
        <w:tc>
          <w:tcPr>
            <w:tcW w:w="2304" w:type="dxa"/>
          </w:tcPr>
          <w:p w14:paraId="6F19716B" w14:textId="77777777" w:rsidR="00CF3257" w:rsidRPr="00C638B7" w:rsidRDefault="00CF3257" w:rsidP="00C808A1">
            <w:pPr>
              <w:pStyle w:val="Heading1"/>
              <w:spacing w:before="0"/>
              <w:rPr>
                <w:rFonts w:cs="Arial"/>
                <w:b w:val="0"/>
                <w:bCs/>
                <w:sz w:val="24"/>
                <w:szCs w:val="24"/>
              </w:rPr>
            </w:pPr>
            <w:r w:rsidRPr="00C638B7">
              <w:rPr>
                <w:rFonts w:cs="Arial"/>
                <w:b w:val="0"/>
                <w:bCs/>
                <w:sz w:val="24"/>
                <w:szCs w:val="24"/>
              </w:rPr>
              <w:t>Council officer</w:t>
            </w:r>
          </w:p>
        </w:tc>
        <w:tc>
          <w:tcPr>
            <w:tcW w:w="7300" w:type="dxa"/>
          </w:tcPr>
          <w:p w14:paraId="3E210F7B" w14:textId="77777777" w:rsidR="00CF3257" w:rsidRPr="00C638B7" w:rsidRDefault="00CF3257" w:rsidP="00C808A1">
            <w:pPr>
              <w:pStyle w:val="Default"/>
            </w:pPr>
            <w:r w:rsidRPr="00C638B7">
              <w:t xml:space="preserve">means the Chief Executive Officer and staff of Council appointed by the Chief Executive Officer. </w:t>
            </w:r>
          </w:p>
        </w:tc>
      </w:tr>
      <w:tr w:rsidR="00202C71" w:rsidRPr="00C638B7" w14:paraId="7994BD27" w14:textId="77777777" w:rsidTr="00C808A1">
        <w:tc>
          <w:tcPr>
            <w:tcW w:w="2304" w:type="dxa"/>
          </w:tcPr>
          <w:p w14:paraId="2E798614" w14:textId="64735CE9" w:rsidR="00202C71" w:rsidRPr="00C638B7" w:rsidRDefault="00202C71" w:rsidP="00202C71">
            <w:pPr>
              <w:pStyle w:val="Heading1"/>
              <w:spacing w:before="0"/>
              <w:rPr>
                <w:rFonts w:cs="Arial"/>
                <w:b w:val="0"/>
                <w:bCs/>
                <w:sz w:val="24"/>
                <w:szCs w:val="24"/>
              </w:rPr>
            </w:pPr>
            <w:r>
              <w:rPr>
                <w:rFonts w:cs="Arial"/>
                <w:b w:val="0"/>
                <w:bCs/>
                <w:sz w:val="24"/>
                <w:szCs w:val="24"/>
              </w:rPr>
              <w:t>Four Year Capital Works Forward Plan</w:t>
            </w:r>
          </w:p>
        </w:tc>
        <w:tc>
          <w:tcPr>
            <w:tcW w:w="7300" w:type="dxa"/>
          </w:tcPr>
          <w:p w14:paraId="07198876" w14:textId="38C03534" w:rsidR="00202C71" w:rsidRPr="00C638B7" w:rsidRDefault="00202C71" w:rsidP="00202C71">
            <w:pPr>
              <w:pStyle w:val="Default"/>
            </w:pPr>
            <w:r>
              <w:t>O</w:t>
            </w:r>
            <w:r w:rsidRPr="007B0FCA">
              <w:t xml:space="preserve">utlines the infrastructure programs and projects planned for delivery over the next </w:t>
            </w:r>
            <w:r>
              <w:t xml:space="preserve">four </w:t>
            </w:r>
            <w:r w:rsidRPr="007B0FCA">
              <w:t>years by Council.</w:t>
            </w:r>
          </w:p>
        </w:tc>
      </w:tr>
      <w:tr w:rsidR="00202C71" w:rsidRPr="00C638B7" w14:paraId="0B9AFC4B" w14:textId="77777777" w:rsidTr="00C808A1">
        <w:tc>
          <w:tcPr>
            <w:tcW w:w="2304" w:type="dxa"/>
          </w:tcPr>
          <w:p w14:paraId="5B43AF2D" w14:textId="1F110C34" w:rsidR="00202C71" w:rsidRDefault="00202C71" w:rsidP="00202C71">
            <w:pPr>
              <w:pStyle w:val="Heading1"/>
              <w:spacing w:before="0"/>
              <w:rPr>
                <w:rFonts w:cs="Arial"/>
                <w:b w:val="0"/>
                <w:bCs/>
                <w:sz w:val="24"/>
                <w:szCs w:val="24"/>
              </w:rPr>
            </w:pPr>
            <w:r>
              <w:rPr>
                <w:rFonts w:cs="Arial"/>
                <w:b w:val="0"/>
                <w:bCs/>
                <w:sz w:val="24"/>
                <w:szCs w:val="24"/>
              </w:rPr>
              <w:t>M</w:t>
            </w:r>
            <w:r w:rsidRPr="00202C71">
              <w:rPr>
                <w:rFonts w:cs="Arial"/>
                <w:b w:val="0"/>
                <w:bCs/>
                <w:sz w:val="24"/>
                <w:szCs w:val="24"/>
              </w:rPr>
              <w:t xml:space="preserve">ajority </w:t>
            </w:r>
            <w:r>
              <w:rPr>
                <w:rFonts w:cs="Arial"/>
                <w:b w:val="0"/>
                <w:bCs/>
                <w:sz w:val="24"/>
                <w:szCs w:val="24"/>
              </w:rPr>
              <w:t>S</w:t>
            </w:r>
            <w:r w:rsidRPr="00202C71">
              <w:rPr>
                <w:rFonts w:cs="Arial"/>
                <w:b w:val="0"/>
                <w:bCs/>
                <w:sz w:val="24"/>
                <w:szCs w:val="24"/>
              </w:rPr>
              <w:t>upport</w:t>
            </w:r>
          </w:p>
        </w:tc>
        <w:tc>
          <w:tcPr>
            <w:tcW w:w="7300" w:type="dxa"/>
          </w:tcPr>
          <w:p w14:paraId="4EA42E8F" w14:textId="31414273" w:rsidR="00202C71" w:rsidRDefault="00202C71" w:rsidP="00202C71">
            <w:pPr>
              <w:pStyle w:val="Default"/>
            </w:pPr>
            <w:r>
              <w:t xml:space="preserve">The requirement for 80% of affected property owners to be willing to </w:t>
            </w:r>
            <w:proofErr w:type="gramStart"/>
            <w:r>
              <w:t>enter into</w:t>
            </w:r>
            <w:proofErr w:type="gramEnd"/>
            <w:r>
              <w:t xml:space="preserve"> a Special Rates and Special Charges scheme.</w:t>
            </w:r>
          </w:p>
        </w:tc>
      </w:tr>
      <w:tr w:rsidR="00CF3257" w:rsidRPr="00C638B7" w14:paraId="791B4103" w14:textId="77777777" w:rsidTr="00C808A1">
        <w:tc>
          <w:tcPr>
            <w:tcW w:w="2304" w:type="dxa"/>
          </w:tcPr>
          <w:p w14:paraId="7A166248" w14:textId="77777777" w:rsidR="00CF3257" w:rsidRPr="00C638B7" w:rsidRDefault="00CF3257" w:rsidP="00C808A1">
            <w:pPr>
              <w:pStyle w:val="Heading1"/>
              <w:spacing w:before="0"/>
              <w:rPr>
                <w:rFonts w:cs="Arial"/>
                <w:b w:val="0"/>
                <w:bCs/>
                <w:sz w:val="24"/>
                <w:szCs w:val="24"/>
              </w:rPr>
            </w:pPr>
            <w:r w:rsidRPr="00C638B7">
              <w:rPr>
                <w:rFonts w:cs="Arial"/>
                <w:b w:val="0"/>
                <w:bCs/>
                <w:sz w:val="24"/>
                <w:szCs w:val="24"/>
              </w:rPr>
              <w:t>Ministerial Guidelines</w:t>
            </w:r>
          </w:p>
        </w:tc>
        <w:tc>
          <w:tcPr>
            <w:tcW w:w="7300" w:type="dxa"/>
          </w:tcPr>
          <w:p w14:paraId="47C55A05" w14:textId="77777777" w:rsidR="00CF3257" w:rsidRPr="00C638B7" w:rsidRDefault="00CF3257" w:rsidP="00C808A1">
            <w:pPr>
              <w:pStyle w:val="Default"/>
            </w:pPr>
            <w:r>
              <w:t>Special Rates and Charges Ministerial Guideline 2004</w:t>
            </w:r>
          </w:p>
        </w:tc>
      </w:tr>
      <w:tr w:rsidR="00202C71" w:rsidRPr="00C638B7" w14:paraId="4C565EE8" w14:textId="77777777" w:rsidTr="00C808A1">
        <w:tc>
          <w:tcPr>
            <w:tcW w:w="2304" w:type="dxa"/>
          </w:tcPr>
          <w:p w14:paraId="2DCACACC" w14:textId="2E7366C6" w:rsidR="00202C71" w:rsidRPr="00C638B7" w:rsidRDefault="00202C71" w:rsidP="00202C71">
            <w:pPr>
              <w:pStyle w:val="Heading1"/>
              <w:spacing w:before="0"/>
              <w:rPr>
                <w:rFonts w:cs="Arial"/>
                <w:b w:val="0"/>
                <w:bCs/>
                <w:sz w:val="24"/>
                <w:szCs w:val="24"/>
              </w:rPr>
            </w:pPr>
            <w:r>
              <w:rPr>
                <w:rFonts w:cs="Arial"/>
                <w:b w:val="0"/>
                <w:bCs/>
                <w:sz w:val="24"/>
                <w:szCs w:val="24"/>
              </w:rPr>
              <w:t>Occupiers</w:t>
            </w:r>
          </w:p>
        </w:tc>
        <w:tc>
          <w:tcPr>
            <w:tcW w:w="7300" w:type="dxa"/>
          </w:tcPr>
          <w:p w14:paraId="57D2C82E" w14:textId="1C3A8ED3" w:rsidR="00202C71" w:rsidRDefault="00202C71" w:rsidP="00202C71">
            <w:pPr>
              <w:pStyle w:val="Default"/>
            </w:pPr>
            <w:r>
              <w:t xml:space="preserve">where the occupier is responsible for the rates.  </w:t>
            </w:r>
          </w:p>
        </w:tc>
      </w:tr>
      <w:tr w:rsidR="00202C71" w:rsidRPr="00C638B7" w14:paraId="0526A2C2" w14:textId="77777777" w:rsidTr="00C808A1">
        <w:tc>
          <w:tcPr>
            <w:tcW w:w="2304" w:type="dxa"/>
          </w:tcPr>
          <w:p w14:paraId="4A6D6896" w14:textId="639871B3" w:rsidR="00202C71" w:rsidRPr="00C638B7" w:rsidRDefault="00202C71" w:rsidP="00202C71">
            <w:pPr>
              <w:pStyle w:val="Heading1"/>
              <w:spacing w:before="0"/>
              <w:rPr>
                <w:rFonts w:cs="Arial"/>
                <w:b w:val="0"/>
                <w:bCs/>
                <w:sz w:val="24"/>
                <w:szCs w:val="24"/>
              </w:rPr>
            </w:pPr>
            <w:r>
              <w:rPr>
                <w:rFonts w:cs="Arial"/>
                <w:b w:val="0"/>
                <w:bCs/>
                <w:sz w:val="24"/>
                <w:szCs w:val="24"/>
              </w:rPr>
              <w:t>Policy</w:t>
            </w:r>
          </w:p>
        </w:tc>
        <w:tc>
          <w:tcPr>
            <w:tcW w:w="7300" w:type="dxa"/>
          </w:tcPr>
          <w:p w14:paraId="62522A1E" w14:textId="6A4EC6E7" w:rsidR="00202C71" w:rsidRPr="00C638B7" w:rsidRDefault="00202C71" w:rsidP="00202C71">
            <w:pPr>
              <w:pStyle w:val="Default"/>
            </w:pPr>
            <w:r>
              <w:t>Special Rate and Charge Policy</w:t>
            </w:r>
          </w:p>
        </w:tc>
      </w:tr>
      <w:tr w:rsidR="00CF3257" w:rsidRPr="00C638B7" w14:paraId="15BE3598" w14:textId="77777777" w:rsidTr="00C808A1">
        <w:tc>
          <w:tcPr>
            <w:tcW w:w="2304" w:type="dxa"/>
          </w:tcPr>
          <w:p w14:paraId="56D63475" w14:textId="77777777" w:rsidR="00CF3257" w:rsidRPr="00C638B7" w:rsidRDefault="00CF3257" w:rsidP="00C808A1">
            <w:pPr>
              <w:pStyle w:val="Heading1"/>
              <w:spacing w:before="0"/>
              <w:rPr>
                <w:rFonts w:cs="Arial"/>
                <w:b w:val="0"/>
                <w:bCs/>
                <w:sz w:val="24"/>
                <w:szCs w:val="24"/>
              </w:rPr>
            </w:pPr>
            <w:r>
              <w:rPr>
                <w:rFonts w:cs="Arial"/>
                <w:b w:val="0"/>
                <w:bCs/>
                <w:sz w:val="24"/>
                <w:szCs w:val="24"/>
              </w:rPr>
              <w:t>Scheme</w:t>
            </w:r>
          </w:p>
        </w:tc>
        <w:tc>
          <w:tcPr>
            <w:tcW w:w="7300" w:type="dxa"/>
          </w:tcPr>
          <w:p w14:paraId="72A742E5" w14:textId="77777777" w:rsidR="00CF3257" w:rsidRPr="00C638B7" w:rsidRDefault="00CF3257" w:rsidP="00C808A1">
            <w:pPr>
              <w:pStyle w:val="Default"/>
            </w:pPr>
            <w:r>
              <w:t>Refers to a special rate or special charge scheme</w:t>
            </w:r>
          </w:p>
        </w:tc>
      </w:tr>
      <w:tr w:rsidR="00CF3257" w:rsidRPr="00C638B7" w14:paraId="554DDFBC" w14:textId="77777777" w:rsidTr="00C808A1">
        <w:tc>
          <w:tcPr>
            <w:tcW w:w="2304" w:type="dxa"/>
          </w:tcPr>
          <w:p w14:paraId="3D1AB8FF" w14:textId="77777777" w:rsidR="00CF3257" w:rsidRPr="00C638B7" w:rsidRDefault="00CF3257" w:rsidP="00C808A1">
            <w:pPr>
              <w:pStyle w:val="Heading1"/>
              <w:spacing w:before="0"/>
              <w:rPr>
                <w:rFonts w:cs="Arial"/>
                <w:b w:val="0"/>
                <w:bCs/>
                <w:sz w:val="24"/>
                <w:szCs w:val="24"/>
              </w:rPr>
            </w:pPr>
            <w:r w:rsidRPr="00C638B7">
              <w:rPr>
                <w:rFonts w:cs="Arial"/>
                <w:b w:val="0"/>
                <w:bCs/>
                <w:sz w:val="24"/>
                <w:szCs w:val="24"/>
              </w:rPr>
              <w:t>Special benefit</w:t>
            </w:r>
          </w:p>
        </w:tc>
        <w:tc>
          <w:tcPr>
            <w:tcW w:w="7300" w:type="dxa"/>
          </w:tcPr>
          <w:p w14:paraId="4537F1FE" w14:textId="77777777" w:rsidR="00CF3257" w:rsidRPr="00C638B7" w:rsidRDefault="00CF3257" w:rsidP="00C808A1">
            <w:pPr>
              <w:spacing w:after="120"/>
              <w:rPr>
                <w:rFonts w:cs="Arial"/>
              </w:rPr>
            </w:pPr>
            <w:r w:rsidRPr="00C638B7">
              <w:rPr>
                <w:rFonts w:cs="Arial"/>
              </w:rPr>
              <w:t>A work or service is of Special Benefit to land and consequently the owners of that land where:</w:t>
            </w:r>
          </w:p>
          <w:p w14:paraId="0E4B7192" w14:textId="77777777" w:rsidR="00CF3257" w:rsidRPr="00C638B7" w:rsidRDefault="00CF3257" w:rsidP="00C808A1">
            <w:pPr>
              <w:pStyle w:val="Bulletlevel2CSC"/>
              <w:rPr>
                <w:rFonts w:ascii="Arial" w:hAnsi="Arial" w:cs="Arial"/>
                <w:sz w:val="24"/>
                <w:szCs w:val="24"/>
                <w:lang w:eastAsia="en-US"/>
              </w:rPr>
            </w:pPr>
            <w:r w:rsidRPr="00C638B7">
              <w:rPr>
                <w:rFonts w:ascii="Arial" w:hAnsi="Arial" w:cs="Arial"/>
                <w:sz w:val="24"/>
                <w:szCs w:val="24"/>
                <w:lang w:eastAsia="en-US"/>
              </w:rPr>
              <w:t>No other portion of the municipal district derives a benefit from that work; or</w:t>
            </w:r>
          </w:p>
          <w:p w14:paraId="7F50AEC6" w14:textId="77777777" w:rsidR="00CF3257" w:rsidRPr="007B0FCA" w:rsidRDefault="00CF3257" w:rsidP="00C808A1">
            <w:pPr>
              <w:pStyle w:val="Bulletlevel2CSC"/>
              <w:rPr>
                <w:rFonts w:ascii="Arial" w:hAnsi="Arial" w:cs="Arial"/>
                <w:sz w:val="24"/>
                <w:szCs w:val="24"/>
                <w:lang w:eastAsia="en-US"/>
              </w:rPr>
            </w:pPr>
            <w:r w:rsidRPr="00C638B7">
              <w:rPr>
                <w:rFonts w:ascii="Arial" w:hAnsi="Arial" w:cs="Arial"/>
                <w:sz w:val="24"/>
                <w:szCs w:val="24"/>
                <w:lang w:eastAsia="en-US"/>
              </w:rPr>
              <w:t>the benefit derived by the selected portion of the municipal district is in addition to or greater than that derived by other properties not included in the selected (‘scheme’) area.</w:t>
            </w:r>
          </w:p>
        </w:tc>
      </w:tr>
      <w:tr w:rsidR="00202C71" w:rsidRPr="00C638B7" w14:paraId="4C3605BF" w14:textId="77777777" w:rsidTr="00C808A1">
        <w:tc>
          <w:tcPr>
            <w:tcW w:w="2304" w:type="dxa"/>
          </w:tcPr>
          <w:p w14:paraId="00263096" w14:textId="078F2E2D" w:rsidR="00202C71" w:rsidRDefault="00202C71" w:rsidP="00202C71">
            <w:pPr>
              <w:pStyle w:val="Heading1"/>
              <w:spacing w:before="0"/>
              <w:rPr>
                <w:rFonts w:cs="Arial"/>
                <w:b w:val="0"/>
                <w:bCs/>
                <w:sz w:val="24"/>
                <w:szCs w:val="24"/>
              </w:rPr>
            </w:pPr>
            <w:r w:rsidRPr="00C638B7">
              <w:rPr>
                <w:rFonts w:cs="Arial"/>
                <w:b w:val="0"/>
                <w:bCs/>
                <w:sz w:val="24"/>
                <w:szCs w:val="24"/>
              </w:rPr>
              <w:t>Total Levy</w:t>
            </w:r>
          </w:p>
        </w:tc>
        <w:tc>
          <w:tcPr>
            <w:tcW w:w="7300" w:type="dxa"/>
          </w:tcPr>
          <w:p w14:paraId="54228ADC" w14:textId="1AEB2B93" w:rsidR="00202C71" w:rsidRDefault="00202C71" w:rsidP="00202C71">
            <w:pPr>
              <w:spacing w:after="120"/>
            </w:pPr>
            <w:r w:rsidRPr="00C638B7">
              <w:rPr>
                <w:rFonts w:cs="Arial"/>
              </w:rPr>
              <w:t>Total Levy is the amount in aggregate to be contributed by persons liable for the special rate or charge.</w:t>
            </w:r>
          </w:p>
        </w:tc>
      </w:tr>
      <w:tr w:rsidR="00202C71" w:rsidRPr="00C638B7" w14:paraId="3F9CC46A" w14:textId="77777777" w:rsidTr="00C808A1">
        <w:tc>
          <w:tcPr>
            <w:tcW w:w="2304" w:type="dxa"/>
          </w:tcPr>
          <w:p w14:paraId="6CAF42DB" w14:textId="5BE80055" w:rsidR="00202C71" w:rsidRPr="00C638B7" w:rsidRDefault="00202C71" w:rsidP="00202C71">
            <w:pPr>
              <w:pStyle w:val="Heading1"/>
              <w:spacing w:before="0"/>
              <w:rPr>
                <w:rFonts w:cs="Arial"/>
                <w:b w:val="0"/>
                <w:bCs/>
                <w:sz w:val="24"/>
                <w:szCs w:val="24"/>
              </w:rPr>
            </w:pPr>
            <w:r w:rsidRPr="00C638B7">
              <w:rPr>
                <w:rFonts w:cs="Arial"/>
                <w:b w:val="0"/>
                <w:bCs/>
                <w:sz w:val="24"/>
                <w:szCs w:val="24"/>
              </w:rPr>
              <w:t>VCAT</w:t>
            </w:r>
          </w:p>
        </w:tc>
        <w:tc>
          <w:tcPr>
            <w:tcW w:w="7300" w:type="dxa"/>
          </w:tcPr>
          <w:p w14:paraId="1AA4CEC3" w14:textId="6E61A002" w:rsidR="00202C71" w:rsidRPr="00C638B7" w:rsidRDefault="00202C71" w:rsidP="00202C71">
            <w:pPr>
              <w:spacing w:after="120"/>
              <w:rPr>
                <w:rFonts w:cs="Arial"/>
              </w:rPr>
            </w:pPr>
            <w:r w:rsidRPr="00C638B7">
              <w:t xml:space="preserve">Victorian Civil and Administrative Tribunal </w:t>
            </w:r>
          </w:p>
        </w:tc>
      </w:tr>
    </w:tbl>
    <w:p w14:paraId="3495BB62" w14:textId="77777777" w:rsidR="00CF3257" w:rsidRPr="00C638B7" w:rsidRDefault="00CF3257" w:rsidP="00CF3257">
      <w:pPr>
        <w:pStyle w:val="heading5"/>
        <w:tabs>
          <w:tab w:val="left" w:pos="2805"/>
        </w:tabs>
        <w:ind w:left="720"/>
        <w:jc w:val="both"/>
        <w:rPr>
          <w:rFonts w:ascii="Arial" w:hAnsi="Arial" w:cs="Arial"/>
          <w:b w:val="0"/>
          <w:bCs/>
          <w:szCs w:val="24"/>
        </w:rPr>
      </w:pPr>
    </w:p>
    <w:p w14:paraId="3AFCFAA4" w14:textId="77777777" w:rsidR="00477DC5" w:rsidRPr="00C638B7" w:rsidRDefault="00477DC5" w:rsidP="00477DC5">
      <w:pPr>
        <w:pStyle w:val="heading5"/>
        <w:rPr>
          <w:rFonts w:ascii="Arial" w:hAnsi="Arial" w:cs="Arial"/>
          <w:bCs/>
          <w:iCs/>
          <w:szCs w:val="24"/>
        </w:rPr>
      </w:pPr>
    </w:p>
    <w:p w14:paraId="16283FB8" w14:textId="77777777" w:rsidR="0047040B" w:rsidRPr="00C638B7" w:rsidRDefault="0047040B" w:rsidP="005D6F33">
      <w:pPr>
        <w:pStyle w:val="heading5"/>
        <w:numPr>
          <w:ilvl w:val="0"/>
          <w:numId w:val="9"/>
        </w:numPr>
        <w:jc w:val="both"/>
        <w:rPr>
          <w:rFonts w:ascii="Arial" w:hAnsi="Arial" w:cs="Arial"/>
          <w:bCs/>
          <w:iCs/>
          <w:szCs w:val="24"/>
        </w:rPr>
      </w:pPr>
      <w:r w:rsidRPr="00C638B7">
        <w:rPr>
          <w:rFonts w:ascii="Arial" w:hAnsi="Arial" w:cs="Arial"/>
          <w:bCs/>
          <w:iCs/>
          <w:szCs w:val="24"/>
        </w:rPr>
        <w:t>Scope</w:t>
      </w:r>
    </w:p>
    <w:p w14:paraId="085A3DE1" w14:textId="44825929" w:rsidR="00B23503" w:rsidRPr="00C638B7" w:rsidRDefault="00B23503" w:rsidP="00B04481">
      <w:pPr>
        <w:pStyle w:val="heading5"/>
        <w:tabs>
          <w:tab w:val="left" w:pos="2805"/>
        </w:tabs>
        <w:jc w:val="both"/>
        <w:rPr>
          <w:rFonts w:ascii="Arial" w:hAnsi="Arial" w:cs="Arial"/>
          <w:b w:val="0"/>
          <w:bCs/>
          <w:szCs w:val="24"/>
        </w:rPr>
      </w:pPr>
      <w:r w:rsidRPr="00C638B7">
        <w:rPr>
          <w:rFonts w:ascii="Arial" w:hAnsi="Arial" w:cs="Arial"/>
          <w:b w:val="0"/>
          <w:bCs/>
          <w:szCs w:val="24"/>
        </w:rPr>
        <w:t>This policy applies to special charge schemes used to fund the construction of infrastructure works. The policy applies when the proposed works would provide specific properties with special benefits that are additional to or greater than the general benefits provided to other properties in the municipality.</w:t>
      </w:r>
    </w:p>
    <w:p w14:paraId="3E630701" w14:textId="77777777" w:rsidR="009E77B9" w:rsidRDefault="009E77B9" w:rsidP="009E77B9">
      <w:pPr>
        <w:pStyle w:val="heading5"/>
        <w:rPr>
          <w:rFonts w:ascii="Arial" w:hAnsi="Arial" w:cs="Arial"/>
          <w:szCs w:val="24"/>
        </w:rPr>
      </w:pPr>
      <w:bookmarkStart w:id="3" w:name="_Toc513727651"/>
      <w:bookmarkStart w:id="4" w:name="_Toc517684090"/>
    </w:p>
    <w:p w14:paraId="11619759" w14:textId="0CFCB0D7" w:rsidR="009E77B9" w:rsidRPr="009E77B9" w:rsidRDefault="009E77B9" w:rsidP="005D6F33">
      <w:pPr>
        <w:pStyle w:val="heading5"/>
        <w:numPr>
          <w:ilvl w:val="0"/>
          <w:numId w:val="9"/>
        </w:numPr>
        <w:jc w:val="both"/>
        <w:rPr>
          <w:rFonts w:ascii="Arial" w:hAnsi="Arial" w:cs="Arial"/>
          <w:bCs/>
          <w:iCs/>
          <w:szCs w:val="24"/>
        </w:rPr>
      </w:pPr>
      <w:r w:rsidRPr="009E77B9">
        <w:rPr>
          <w:rFonts w:ascii="Arial" w:hAnsi="Arial" w:cs="Arial"/>
          <w:bCs/>
          <w:iCs/>
          <w:szCs w:val="24"/>
        </w:rPr>
        <w:t>Policy Statement</w:t>
      </w:r>
    </w:p>
    <w:p w14:paraId="53B6239B" w14:textId="5E35FD90" w:rsidR="001149B4" w:rsidRPr="001149B4" w:rsidRDefault="001149B4" w:rsidP="001149B4">
      <w:pPr>
        <w:pStyle w:val="heading5"/>
        <w:tabs>
          <w:tab w:val="left" w:pos="2805"/>
        </w:tabs>
        <w:jc w:val="both"/>
        <w:rPr>
          <w:rFonts w:ascii="Arial" w:hAnsi="Arial" w:cs="Arial"/>
          <w:b w:val="0"/>
          <w:bCs/>
          <w:szCs w:val="24"/>
        </w:rPr>
      </w:pPr>
      <w:r w:rsidRPr="001149B4">
        <w:rPr>
          <w:rFonts w:ascii="Arial" w:hAnsi="Arial" w:cs="Arial"/>
          <w:b w:val="0"/>
          <w:bCs/>
          <w:szCs w:val="24"/>
        </w:rPr>
        <w:t xml:space="preserve">This policy applies to </w:t>
      </w:r>
      <w:r w:rsidR="00700BA3" w:rsidRPr="00700BA3">
        <w:rPr>
          <w:rFonts w:ascii="Arial" w:hAnsi="Arial" w:cs="Arial"/>
          <w:b w:val="0"/>
          <w:bCs/>
          <w:szCs w:val="24"/>
        </w:rPr>
        <w:t>Special Rate and Special Charge</w:t>
      </w:r>
      <w:r w:rsidRPr="001149B4">
        <w:rPr>
          <w:rFonts w:ascii="Arial" w:hAnsi="Arial" w:cs="Arial"/>
          <w:b w:val="0"/>
          <w:bCs/>
          <w:szCs w:val="24"/>
        </w:rPr>
        <w:t xml:space="preserve"> Scheme infrastructure projects, including</w:t>
      </w:r>
      <w:r w:rsidR="001438FE">
        <w:rPr>
          <w:rFonts w:ascii="Arial" w:hAnsi="Arial" w:cs="Arial"/>
          <w:b w:val="0"/>
          <w:bCs/>
          <w:szCs w:val="24"/>
        </w:rPr>
        <w:t xml:space="preserve"> but not limited to, </w:t>
      </w:r>
      <w:r w:rsidRPr="001149B4">
        <w:rPr>
          <w:rFonts w:ascii="Arial" w:hAnsi="Arial" w:cs="Arial"/>
          <w:b w:val="0"/>
          <w:bCs/>
          <w:szCs w:val="24"/>
        </w:rPr>
        <w:t>the installation of new easement drains, the construction of new or previously formed but unconstructed roads and footpaths,</w:t>
      </w:r>
      <w:r>
        <w:rPr>
          <w:rFonts w:ascii="Arial" w:hAnsi="Arial" w:cs="Arial"/>
          <w:b w:val="0"/>
          <w:bCs/>
          <w:szCs w:val="24"/>
        </w:rPr>
        <w:t xml:space="preserve"> </w:t>
      </w:r>
      <w:r w:rsidRPr="001149B4">
        <w:rPr>
          <w:rFonts w:ascii="Arial" w:hAnsi="Arial" w:cs="Arial"/>
          <w:b w:val="0"/>
          <w:bCs/>
          <w:szCs w:val="24"/>
        </w:rPr>
        <w:t>the replacement of overhead power lines with underground power lines, or the aerial bundling of overhead power lines</w:t>
      </w:r>
      <w:r>
        <w:rPr>
          <w:rFonts w:ascii="Arial" w:hAnsi="Arial" w:cs="Arial"/>
          <w:b w:val="0"/>
          <w:bCs/>
          <w:szCs w:val="24"/>
        </w:rPr>
        <w:t xml:space="preserve"> and a</w:t>
      </w:r>
      <w:r w:rsidRPr="001149B4">
        <w:rPr>
          <w:rFonts w:ascii="Arial" w:hAnsi="Arial" w:cs="Arial"/>
          <w:b w:val="0"/>
          <w:bCs/>
          <w:szCs w:val="24"/>
        </w:rPr>
        <w:t xml:space="preserve">ny other category of infrastructure that meets the Special Benefit criteria. </w:t>
      </w:r>
    </w:p>
    <w:bookmarkEnd w:id="3"/>
    <w:bookmarkEnd w:id="4"/>
    <w:p w14:paraId="2C359C77" w14:textId="77777777" w:rsidR="00FB7568" w:rsidRPr="00C638B7" w:rsidRDefault="00FB7568" w:rsidP="001149B4">
      <w:pPr>
        <w:pStyle w:val="heading5"/>
        <w:rPr>
          <w:rFonts w:ascii="Arial" w:hAnsi="Arial" w:cs="Arial"/>
          <w:szCs w:val="24"/>
        </w:rPr>
      </w:pPr>
    </w:p>
    <w:p w14:paraId="747FD9E6" w14:textId="4CE61023" w:rsidR="00FB7568" w:rsidRPr="008910B7" w:rsidRDefault="00FB7568" w:rsidP="005D6F33">
      <w:pPr>
        <w:pStyle w:val="heading5"/>
        <w:numPr>
          <w:ilvl w:val="0"/>
          <w:numId w:val="9"/>
        </w:numPr>
        <w:jc w:val="both"/>
        <w:rPr>
          <w:rFonts w:ascii="Arial" w:hAnsi="Arial" w:cs="Arial"/>
          <w:bCs/>
          <w:iCs/>
          <w:szCs w:val="24"/>
        </w:rPr>
      </w:pPr>
      <w:bookmarkStart w:id="5" w:name="_Toc517684093"/>
      <w:r w:rsidRPr="008910B7">
        <w:rPr>
          <w:rFonts w:ascii="Arial" w:hAnsi="Arial" w:cs="Arial"/>
          <w:bCs/>
          <w:iCs/>
          <w:szCs w:val="24"/>
        </w:rPr>
        <w:t>Scheme Initiation</w:t>
      </w:r>
      <w:bookmarkEnd w:id="5"/>
    </w:p>
    <w:p w14:paraId="3E0CEBAC" w14:textId="75F61C1D" w:rsidR="001149B4" w:rsidRDefault="001149B4" w:rsidP="00725934">
      <w:pPr>
        <w:pStyle w:val="heading5"/>
        <w:tabs>
          <w:tab w:val="left" w:pos="2805"/>
        </w:tabs>
        <w:jc w:val="both"/>
        <w:rPr>
          <w:rFonts w:ascii="Arial" w:hAnsi="Arial" w:cs="Arial"/>
          <w:b w:val="0"/>
          <w:szCs w:val="24"/>
          <w:lang w:val="en-AU"/>
        </w:rPr>
      </w:pPr>
      <w:r w:rsidRPr="001149B4">
        <w:rPr>
          <w:rFonts w:ascii="Arial" w:hAnsi="Arial" w:cs="Arial"/>
          <w:b w:val="0"/>
          <w:szCs w:val="24"/>
          <w:lang w:val="en-AU"/>
        </w:rPr>
        <w:t xml:space="preserve">A </w:t>
      </w:r>
      <w:r w:rsidR="00700BA3" w:rsidRPr="00700BA3">
        <w:rPr>
          <w:rFonts w:ascii="Arial" w:hAnsi="Arial" w:cs="Arial"/>
          <w:b w:val="0"/>
          <w:szCs w:val="24"/>
          <w:lang w:val="en-AU"/>
        </w:rPr>
        <w:t xml:space="preserve">Special Rate and Special Charge </w:t>
      </w:r>
      <w:r w:rsidRPr="001149B4">
        <w:rPr>
          <w:rFonts w:ascii="Arial" w:hAnsi="Arial" w:cs="Arial"/>
          <w:b w:val="0"/>
          <w:szCs w:val="24"/>
          <w:lang w:val="en-AU"/>
        </w:rPr>
        <w:t xml:space="preserve">may be initiated in </w:t>
      </w:r>
      <w:proofErr w:type="gramStart"/>
      <w:r w:rsidRPr="001149B4">
        <w:rPr>
          <w:rFonts w:ascii="Arial" w:hAnsi="Arial" w:cs="Arial"/>
          <w:b w:val="0"/>
          <w:szCs w:val="24"/>
          <w:lang w:val="en-AU"/>
        </w:rPr>
        <w:t>a number of</w:t>
      </w:r>
      <w:proofErr w:type="gramEnd"/>
      <w:r w:rsidRPr="001149B4">
        <w:rPr>
          <w:rFonts w:ascii="Arial" w:hAnsi="Arial" w:cs="Arial"/>
          <w:b w:val="0"/>
          <w:szCs w:val="24"/>
          <w:lang w:val="en-AU"/>
        </w:rPr>
        <w:t xml:space="preserve"> ways:</w:t>
      </w:r>
    </w:p>
    <w:p w14:paraId="17EF6E2F" w14:textId="7A56D1D9" w:rsidR="001149B4" w:rsidRDefault="001149B4" w:rsidP="003F12B6">
      <w:pPr>
        <w:pStyle w:val="heading5"/>
        <w:numPr>
          <w:ilvl w:val="0"/>
          <w:numId w:val="6"/>
        </w:numPr>
        <w:tabs>
          <w:tab w:val="left" w:pos="2805"/>
        </w:tabs>
        <w:ind w:left="284" w:hanging="284"/>
        <w:jc w:val="both"/>
        <w:rPr>
          <w:rFonts w:ascii="Arial" w:hAnsi="Arial" w:cs="Arial"/>
          <w:b w:val="0"/>
          <w:szCs w:val="24"/>
          <w:lang w:val="en-AU"/>
        </w:rPr>
      </w:pPr>
      <w:proofErr w:type="gramStart"/>
      <w:r w:rsidRPr="001149B4">
        <w:rPr>
          <w:rFonts w:ascii="Arial" w:hAnsi="Arial" w:cs="Arial"/>
          <w:b w:val="0"/>
          <w:szCs w:val="24"/>
          <w:lang w:val="en-AU"/>
        </w:rPr>
        <w:t>As a consequence of</w:t>
      </w:r>
      <w:proofErr w:type="gramEnd"/>
      <w:r w:rsidRPr="001149B4">
        <w:rPr>
          <w:rFonts w:ascii="Arial" w:hAnsi="Arial" w:cs="Arial"/>
          <w:b w:val="0"/>
          <w:szCs w:val="24"/>
          <w:lang w:val="en-AU"/>
        </w:rPr>
        <w:t xml:space="preserve"> Council’s </w:t>
      </w:r>
      <w:r w:rsidR="008910B7">
        <w:rPr>
          <w:rFonts w:ascii="Arial" w:hAnsi="Arial" w:cs="Arial"/>
          <w:b w:val="0"/>
          <w:szCs w:val="24"/>
          <w:lang w:val="en-AU"/>
        </w:rPr>
        <w:t xml:space="preserve">Four-Year Capital works Program. </w:t>
      </w:r>
      <w:r w:rsidR="006C595D">
        <w:rPr>
          <w:rFonts w:ascii="Arial" w:hAnsi="Arial" w:cs="Arial"/>
          <w:b w:val="0"/>
          <w:szCs w:val="24"/>
          <w:lang w:val="en-AU"/>
        </w:rPr>
        <w:t>Prioritisation can also include r</w:t>
      </w:r>
      <w:r>
        <w:rPr>
          <w:rFonts w:ascii="Arial" w:hAnsi="Arial" w:cs="Arial"/>
          <w:b w:val="0"/>
          <w:szCs w:val="24"/>
          <w:lang w:val="en-AU"/>
        </w:rPr>
        <w:t xml:space="preserve">oads identified for possible discontinuation. </w:t>
      </w:r>
      <w:r w:rsidRPr="001149B4">
        <w:rPr>
          <w:rFonts w:ascii="Arial" w:hAnsi="Arial" w:cs="Arial"/>
          <w:b w:val="0"/>
          <w:szCs w:val="24"/>
          <w:lang w:val="en-AU"/>
        </w:rPr>
        <w:t xml:space="preserve">This will involve consultation with relevant property owners and occupiers to determine </w:t>
      </w:r>
      <w:r w:rsidR="008910B7" w:rsidRPr="001149B4">
        <w:rPr>
          <w:rFonts w:ascii="Arial" w:hAnsi="Arial" w:cs="Arial"/>
          <w:b w:val="0"/>
          <w:szCs w:val="24"/>
          <w:lang w:val="en-AU"/>
        </w:rPr>
        <w:t>whether</w:t>
      </w:r>
      <w:r w:rsidRPr="001149B4">
        <w:rPr>
          <w:rFonts w:ascii="Arial" w:hAnsi="Arial" w:cs="Arial"/>
          <w:b w:val="0"/>
          <w:szCs w:val="24"/>
          <w:lang w:val="en-AU"/>
        </w:rPr>
        <w:t xml:space="preserve"> there is a sufficient level of support to implement a </w:t>
      </w:r>
      <w:r w:rsidR="00700BA3" w:rsidRPr="00700BA3">
        <w:rPr>
          <w:rFonts w:ascii="Arial" w:hAnsi="Arial" w:cs="Arial"/>
          <w:b w:val="0"/>
          <w:szCs w:val="24"/>
          <w:lang w:val="en-AU"/>
        </w:rPr>
        <w:t>Special Rate and Special Charge</w:t>
      </w:r>
      <w:r w:rsidRPr="001149B4">
        <w:rPr>
          <w:rFonts w:ascii="Arial" w:hAnsi="Arial" w:cs="Arial"/>
          <w:b w:val="0"/>
          <w:szCs w:val="24"/>
          <w:lang w:val="en-AU"/>
        </w:rPr>
        <w:t xml:space="preserve">. Subject to sufficient support, the relevant road or roads can then be constructed </w:t>
      </w:r>
      <w:r w:rsidR="006C595D">
        <w:rPr>
          <w:rFonts w:ascii="Arial" w:hAnsi="Arial" w:cs="Arial"/>
          <w:b w:val="0"/>
          <w:szCs w:val="24"/>
          <w:lang w:val="en-AU"/>
        </w:rPr>
        <w:t xml:space="preserve">or discontinued, </w:t>
      </w:r>
      <w:r w:rsidRPr="001149B4">
        <w:rPr>
          <w:rFonts w:ascii="Arial" w:hAnsi="Arial" w:cs="Arial"/>
          <w:b w:val="0"/>
          <w:szCs w:val="24"/>
          <w:lang w:val="en-AU"/>
        </w:rPr>
        <w:t xml:space="preserve">to a suitable and safe standard in accordance with the requirements of Council; or </w:t>
      </w:r>
    </w:p>
    <w:p w14:paraId="18EFEFBD" w14:textId="46C9C053" w:rsidR="001149B4" w:rsidRDefault="001149B4" w:rsidP="003F12B6">
      <w:pPr>
        <w:pStyle w:val="heading5"/>
        <w:numPr>
          <w:ilvl w:val="0"/>
          <w:numId w:val="6"/>
        </w:numPr>
        <w:tabs>
          <w:tab w:val="left" w:pos="2805"/>
        </w:tabs>
        <w:ind w:left="284" w:hanging="284"/>
        <w:jc w:val="both"/>
        <w:rPr>
          <w:rFonts w:ascii="Arial" w:hAnsi="Arial" w:cs="Arial"/>
          <w:b w:val="0"/>
          <w:szCs w:val="24"/>
          <w:lang w:val="en-AU"/>
        </w:rPr>
      </w:pPr>
      <w:r w:rsidRPr="001149B4">
        <w:rPr>
          <w:rFonts w:ascii="Arial" w:hAnsi="Arial" w:cs="Arial"/>
          <w:b w:val="0"/>
          <w:szCs w:val="24"/>
          <w:lang w:val="en-AU"/>
        </w:rPr>
        <w:t>Where special circumstances present themselves and it is considered necessary – normally in the interests of public health and safety – to investigate and proceed with the installation of easement drains within the</w:t>
      </w:r>
      <w:r w:rsidR="008910B7">
        <w:rPr>
          <w:rFonts w:ascii="Arial" w:hAnsi="Arial" w:cs="Arial"/>
          <w:b w:val="0"/>
          <w:szCs w:val="24"/>
          <w:lang w:val="en-AU"/>
        </w:rPr>
        <w:t xml:space="preserve"> municipality</w:t>
      </w:r>
      <w:r w:rsidRPr="001149B4">
        <w:rPr>
          <w:rFonts w:ascii="Arial" w:hAnsi="Arial" w:cs="Arial"/>
          <w:b w:val="0"/>
          <w:szCs w:val="24"/>
          <w:lang w:val="en-AU"/>
        </w:rPr>
        <w:t xml:space="preserve">; or  </w:t>
      </w:r>
    </w:p>
    <w:p w14:paraId="20ECB92A" w14:textId="19209007" w:rsidR="001149B4" w:rsidRDefault="001149B4" w:rsidP="003F12B6">
      <w:pPr>
        <w:pStyle w:val="heading5"/>
        <w:numPr>
          <w:ilvl w:val="0"/>
          <w:numId w:val="6"/>
        </w:numPr>
        <w:tabs>
          <w:tab w:val="left" w:pos="2805"/>
        </w:tabs>
        <w:ind w:left="284" w:hanging="284"/>
        <w:jc w:val="both"/>
        <w:rPr>
          <w:rFonts w:ascii="Arial" w:hAnsi="Arial" w:cs="Arial"/>
          <w:b w:val="0"/>
          <w:szCs w:val="24"/>
          <w:lang w:val="en-AU"/>
        </w:rPr>
      </w:pPr>
      <w:r w:rsidRPr="001149B4">
        <w:rPr>
          <w:rFonts w:ascii="Arial" w:hAnsi="Arial" w:cs="Arial"/>
          <w:b w:val="0"/>
          <w:szCs w:val="24"/>
          <w:lang w:val="en-AU"/>
        </w:rPr>
        <w:t xml:space="preserve">Where Council itself, members of the public, residents, Council Officers or external statutory service authorities request Council to make infrastructure improvements in a particular area. In these </w:t>
      </w:r>
      <w:r w:rsidR="008910B7" w:rsidRPr="001149B4">
        <w:rPr>
          <w:rFonts w:ascii="Arial" w:hAnsi="Arial" w:cs="Arial"/>
          <w:b w:val="0"/>
          <w:szCs w:val="24"/>
          <w:lang w:val="en-AU"/>
        </w:rPr>
        <w:t>instances,</w:t>
      </w:r>
      <w:r w:rsidRPr="001149B4">
        <w:rPr>
          <w:rFonts w:ascii="Arial" w:hAnsi="Arial" w:cs="Arial"/>
          <w:b w:val="0"/>
          <w:szCs w:val="24"/>
          <w:lang w:val="en-AU"/>
        </w:rPr>
        <w:t xml:space="preserve"> there must, in most cases, be a demonstration of at least </w:t>
      </w:r>
      <w:r w:rsidR="00202C71">
        <w:rPr>
          <w:rFonts w:ascii="Arial" w:hAnsi="Arial" w:cs="Arial"/>
          <w:b w:val="0"/>
          <w:szCs w:val="24"/>
          <w:lang w:val="en-AU"/>
        </w:rPr>
        <w:t xml:space="preserve">80% support, being the </w:t>
      </w:r>
      <w:r w:rsidRPr="001149B4">
        <w:rPr>
          <w:rFonts w:ascii="Arial" w:hAnsi="Arial" w:cs="Arial"/>
          <w:b w:val="0"/>
          <w:szCs w:val="24"/>
          <w:lang w:val="en-AU"/>
        </w:rPr>
        <w:t xml:space="preserve">majority by potential contributors to the </w:t>
      </w:r>
      <w:r w:rsidR="00700BA3" w:rsidRPr="00700BA3">
        <w:rPr>
          <w:rFonts w:ascii="Arial" w:hAnsi="Arial" w:cs="Arial"/>
          <w:b w:val="0"/>
          <w:szCs w:val="24"/>
          <w:lang w:val="en-AU"/>
        </w:rPr>
        <w:t xml:space="preserve">Special Rate and Special Charge </w:t>
      </w:r>
      <w:r w:rsidRPr="001149B4">
        <w:rPr>
          <w:rFonts w:ascii="Arial" w:hAnsi="Arial" w:cs="Arial"/>
          <w:b w:val="0"/>
          <w:szCs w:val="24"/>
          <w:lang w:val="en-AU"/>
        </w:rPr>
        <w:t xml:space="preserve">Scheme. </w:t>
      </w:r>
    </w:p>
    <w:p w14:paraId="6D03E49E" w14:textId="77777777" w:rsidR="001149B4" w:rsidRDefault="001149B4" w:rsidP="001149B4">
      <w:pPr>
        <w:pStyle w:val="heading5"/>
        <w:tabs>
          <w:tab w:val="left" w:pos="2805"/>
        </w:tabs>
        <w:ind w:left="360"/>
        <w:jc w:val="both"/>
        <w:rPr>
          <w:rFonts w:ascii="Arial" w:hAnsi="Arial" w:cs="Arial"/>
          <w:b w:val="0"/>
          <w:szCs w:val="24"/>
          <w:lang w:val="en-AU"/>
        </w:rPr>
      </w:pPr>
    </w:p>
    <w:p w14:paraId="7B3C317D" w14:textId="1F89700E" w:rsidR="001149B4" w:rsidRDefault="001149B4" w:rsidP="008910B7">
      <w:pPr>
        <w:pStyle w:val="heading5"/>
        <w:tabs>
          <w:tab w:val="left" w:pos="2805"/>
        </w:tabs>
        <w:jc w:val="both"/>
        <w:rPr>
          <w:rFonts w:ascii="Arial" w:hAnsi="Arial" w:cs="Arial"/>
          <w:b w:val="0"/>
          <w:szCs w:val="24"/>
          <w:lang w:val="en-AU"/>
        </w:rPr>
      </w:pPr>
      <w:r w:rsidRPr="001149B4">
        <w:rPr>
          <w:rFonts w:ascii="Arial" w:hAnsi="Arial" w:cs="Arial"/>
          <w:b w:val="0"/>
          <w:szCs w:val="24"/>
          <w:lang w:val="en-AU"/>
        </w:rPr>
        <w:t xml:space="preserve">If Council is or will be required to contribute to the </w:t>
      </w:r>
      <w:r w:rsidR="00700BA3" w:rsidRPr="00700BA3">
        <w:rPr>
          <w:rFonts w:ascii="Arial" w:hAnsi="Arial" w:cs="Arial"/>
          <w:b w:val="0"/>
          <w:szCs w:val="24"/>
          <w:lang w:val="en-AU"/>
        </w:rPr>
        <w:t xml:space="preserve">Special Rate and Special Charge </w:t>
      </w:r>
      <w:r w:rsidRPr="001149B4">
        <w:rPr>
          <w:rFonts w:ascii="Arial" w:hAnsi="Arial" w:cs="Arial"/>
          <w:b w:val="0"/>
          <w:szCs w:val="24"/>
          <w:lang w:val="en-AU"/>
        </w:rPr>
        <w:t xml:space="preserve">Scheme, then the timing of the project will be dependent on sufficient funds being available in the then current or future Capital Works Budget. </w:t>
      </w:r>
    </w:p>
    <w:p w14:paraId="69140C70" w14:textId="77777777" w:rsidR="001149B4" w:rsidRDefault="001149B4" w:rsidP="008910B7">
      <w:pPr>
        <w:pStyle w:val="heading5"/>
        <w:tabs>
          <w:tab w:val="left" w:pos="2805"/>
        </w:tabs>
        <w:jc w:val="both"/>
        <w:rPr>
          <w:rFonts w:ascii="Arial" w:hAnsi="Arial" w:cs="Arial"/>
          <w:b w:val="0"/>
          <w:szCs w:val="24"/>
          <w:lang w:val="en-AU"/>
        </w:rPr>
      </w:pPr>
    </w:p>
    <w:p w14:paraId="66A54277" w14:textId="250CBEEB" w:rsidR="001149B4" w:rsidRDefault="001149B4" w:rsidP="008910B7">
      <w:pPr>
        <w:pStyle w:val="heading5"/>
        <w:tabs>
          <w:tab w:val="left" w:pos="2805"/>
        </w:tabs>
        <w:jc w:val="both"/>
        <w:rPr>
          <w:rFonts w:ascii="Arial" w:hAnsi="Arial" w:cs="Arial"/>
          <w:b w:val="0"/>
          <w:szCs w:val="24"/>
          <w:lang w:val="en-AU"/>
        </w:rPr>
      </w:pPr>
      <w:r w:rsidRPr="001149B4">
        <w:rPr>
          <w:rFonts w:ascii="Arial" w:hAnsi="Arial" w:cs="Arial"/>
          <w:b w:val="0"/>
          <w:szCs w:val="24"/>
          <w:lang w:val="en-AU"/>
        </w:rPr>
        <w:t xml:space="preserve">It is policy that the decision of Council to declare a </w:t>
      </w:r>
      <w:r w:rsidR="00700BA3" w:rsidRPr="00700BA3">
        <w:rPr>
          <w:rFonts w:ascii="Arial" w:hAnsi="Arial" w:cs="Arial"/>
          <w:b w:val="0"/>
          <w:szCs w:val="24"/>
          <w:lang w:val="en-AU"/>
        </w:rPr>
        <w:t>Special Rate and</w:t>
      </w:r>
      <w:r w:rsidR="00700BA3">
        <w:rPr>
          <w:rFonts w:ascii="Arial" w:hAnsi="Arial" w:cs="Arial"/>
          <w:b w:val="0"/>
          <w:szCs w:val="24"/>
          <w:lang w:val="en-AU"/>
        </w:rPr>
        <w:t>/or</w:t>
      </w:r>
      <w:r w:rsidR="00700BA3" w:rsidRPr="00700BA3">
        <w:rPr>
          <w:rFonts w:ascii="Arial" w:hAnsi="Arial" w:cs="Arial"/>
          <w:b w:val="0"/>
          <w:szCs w:val="24"/>
          <w:lang w:val="en-AU"/>
        </w:rPr>
        <w:t xml:space="preserve"> Special Charge </w:t>
      </w:r>
      <w:r w:rsidRPr="001149B4">
        <w:rPr>
          <w:rFonts w:ascii="Arial" w:hAnsi="Arial" w:cs="Arial"/>
          <w:b w:val="0"/>
          <w:szCs w:val="24"/>
          <w:lang w:val="en-AU"/>
        </w:rPr>
        <w:t xml:space="preserve">and to contribute to a </w:t>
      </w:r>
      <w:r w:rsidR="00700BA3" w:rsidRPr="00700BA3">
        <w:rPr>
          <w:rFonts w:ascii="Arial" w:hAnsi="Arial" w:cs="Arial"/>
          <w:b w:val="0"/>
          <w:szCs w:val="24"/>
          <w:lang w:val="en-AU"/>
        </w:rPr>
        <w:t xml:space="preserve">Special Rate and Special Charge </w:t>
      </w:r>
      <w:r w:rsidRPr="001149B4">
        <w:rPr>
          <w:rFonts w:ascii="Arial" w:hAnsi="Arial" w:cs="Arial"/>
          <w:b w:val="0"/>
          <w:szCs w:val="24"/>
          <w:lang w:val="en-AU"/>
        </w:rPr>
        <w:t xml:space="preserve">Scheme is (subject to any requirements in the Act to the contrary) entirely a matter for the discretion of Council, to be exercised as Council sees fit. </w:t>
      </w:r>
      <w:proofErr w:type="gramStart"/>
      <w:r w:rsidRPr="001149B4">
        <w:rPr>
          <w:rFonts w:ascii="Arial" w:hAnsi="Arial" w:cs="Arial"/>
          <w:b w:val="0"/>
          <w:szCs w:val="24"/>
          <w:lang w:val="en-AU"/>
        </w:rPr>
        <w:t>In particular, this</w:t>
      </w:r>
      <w:proofErr w:type="gramEnd"/>
      <w:r w:rsidRPr="001149B4">
        <w:rPr>
          <w:rFonts w:ascii="Arial" w:hAnsi="Arial" w:cs="Arial"/>
          <w:b w:val="0"/>
          <w:szCs w:val="24"/>
          <w:lang w:val="en-AU"/>
        </w:rPr>
        <w:t xml:space="preserve"> policy is intended to provide an indication only as to how, in most cases, Council will decide to exercise its power in relation to the declaration of a Special Charge, reserving to Council the right to decide to exercise its power in some different way having regard to the circumstances of a particular proposal.</w:t>
      </w:r>
      <w:r w:rsidRPr="00725934">
        <w:rPr>
          <w:rFonts w:ascii="Arial" w:hAnsi="Arial" w:cs="Arial"/>
          <w:b w:val="0"/>
          <w:szCs w:val="24"/>
          <w:lang w:val="en-AU"/>
        </w:rPr>
        <w:t xml:space="preserve"> </w:t>
      </w:r>
    </w:p>
    <w:p w14:paraId="7B660CA4" w14:textId="77777777" w:rsidR="00B152AB" w:rsidRPr="00C638B7" w:rsidRDefault="00B152AB" w:rsidP="00B04481">
      <w:pPr>
        <w:pStyle w:val="heading5"/>
        <w:tabs>
          <w:tab w:val="left" w:pos="2805"/>
        </w:tabs>
        <w:jc w:val="both"/>
        <w:rPr>
          <w:rFonts w:ascii="Arial" w:hAnsi="Arial" w:cs="Arial"/>
          <w:b w:val="0"/>
          <w:bCs/>
          <w:szCs w:val="24"/>
        </w:rPr>
      </w:pPr>
    </w:p>
    <w:p w14:paraId="32A4C214" w14:textId="2B6611E9" w:rsidR="00725934" w:rsidRPr="008910B7" w:rsidRDefault="00C82EB6" w:rsidP="005D6F33">
      <w:pPr>
        <w:pStyle w:val="heading5"/>
        <w:numPr>
          <w:ilvl w:val="0"/>
          <w:numId w:val="9"/>
        </w:numPr>
        <w:jc w:val="both"/>
        <w:rPr>
          <w:rFonts w:ascii="Arial" w:hAnsi="Arial" w:cs="Arial"/>
          <w:bCs/>
          <w:iCs/>
          <w:szCs w:val="24"/>
        </w:rPr>
      </w:pPr>
      <w:r w:rsidRPr="008910B7">
        <w:rPr>
          <w:rFonts w:ascii="Arial" w:hAnsi="Arial" w:cs="Arial"/>
          <w:bCs/>
          <w:iCs/>
          <w:szCs w:val="24"/>
        </w:rPr>
        <w:t xml:space="preserve">Preliminary (Informal) Consultation </w:t>
      </w:r>
      <w:r w:rsidR="00725934" w:rsidRPr="008910B7">
        <w:rPr>
          <w:rFonts w:ascii="Arial" w:hAnsi="Arial" w:cs="Arial"/>
          <w:bCs/>
          <w:iCs/>
          <w:szCs w:val="24"/>
        </w:rPr>
        <w:t xml:space="preserve"> </w:t>
      </w:r>
    </w:p>
    <w:p w14:paraId="1E34C407" w14:textId="213CC4F1" w:rsidR="00C82EB6" w:rsidRDefault="00C82EB6" w:rsidP="008910B7">
      <w:pPr>
        <w:pStyle w:val="heading5"/>
        <w:tabs>
          <w:tab w:val="left" w:pos="2805"/>
        </w:tabs>
        <w:jc w:val="both"/>
        <w:rPr>
          <w:rFonts w:ascii="Arial" w:hAnsi="Arial" w:cs="Arial"/>
          <w:b w:val="0"/>
          <w:szCs w:val="24"/>
          <w:lang w:val="en-AU"/>
        </w:rPr>
      </w:pPr>
      <w:r w:rsidRPr="00C82EB6">
        <w:rPr>
          <w:rFonts w:ascii="Arial" w:hAnsi="Arial" w:cs="Arial"/>
          <w:b w:val="0"/>
          <w:szCs w:val="24"/>
          <w:lang w:val="en-AU"/>
        </w:rPr>
        <w:t xml:space="preserve">Following a request to initiate a </w:t>
      </w:r>
      <w:r w:rsidR="005D6F33" w:rsidRPr="005D6F33">
        <w:rPr>
          <w:rFonts w:ascii="Arial" w:hAnsi="Arial" w:cs="Arial"/>
          <w:b w:val="0"/>
          <w:szCs w:val="24"/>
          <w:lang w:val="en-AU"/>
        </w:rPr>
        <w:t xml:space="preserve">Special Rate and Special Charge </w:t>
      </w:r>
      <w:r w:rsidRPr="00C82EB6">
        <w:rPr>
          <w:rFonts w:ascii="Arial" w:hAnsi="Arial" w:cs="Arial"/>
          <w:b w:val="0"/>
          <w:szCs w:val="24"/>
          <w:lang w:val="en-AU"/>
        </w:rPr>
        <w:t xml:space="preserve">Scheme, a process of preliminary consultation with affected residents and other stakeholders will commence. This will involve sending preliminary information and an initial questionnaire to all potential contributors with a view to providing and/or seeking: </w:t>
      </w:r>
    </w:p>
    <w:p w14:paraId="58ABDF01" w14:textId="56743F4D" w:rsidR="00C82EB6" w:rsidRDefault="008910B7"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I</w:t>
      </w:r>
      <w:r w:rsidR="00C82EB6" w:rsidRPr="00C82EB6">
        <w:rPr>
          <w:rFonts w:ascii="Arial" w:hAnsi="Arial" w:cs="Arial"/>
          <w:b w:val="0"/>
          <w:szCs w:val="24"/>
          <w:lang w:val="en-AU"/>
        </w:rPr>
        <w:t xml:space="preserve">nformation and/or comment on the power of Council to declare a </w:t>
      </w:r>
      <w:r w:rsidR="005D6F33" w:rsidRPr="005D6F33">
        <w:rPr>
          <w:rFonts w:ascii="Arial" w:hAnsi="Arial" w:cs="Arial"/>
          <w:b w:val="0"/>
          <w:szCs w:val="24"/>
          <w:lang w:val="en-AU"/>
        </w:rPr>
        <w:t xml:space="preserve">Special Rate and Special Charge </w:t>
      </w:r>
      <w:r w:rsidR="00C82EB6" w:rsidRPr="00C82EB6">
        <w:rPr>
          <w:rFonts w:ascii="Arial" w:hAnsi="Arial" w:cs="Arial"/>
          <w:b w:val="0"/>
          <w:szCs w:val="24"/>
          <w:lang w:val="en-AU"/>
        </w:rPr>
        <w:t xml:space="preserve">Scheme. </w:t>
      </w:r>
    </w:p>
    <w:p w14:paraId="1ED8C4D4" w14:textId="15F55909" w:rsidR="00C82EB6" w:rsidRDefault="008910B7"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A</w:t>
      </w:r>
      <w:r w:rsidR="00C82EB6" w:rsidRPr="00C82EB6">
        <w:rPr>
          <w:rFonts w:ascii="Arial" w:hAnsi="Arial" w:cs="Arial"/>
          <w:b w:val="0"/>
          <w:szCs w:val="24"/>
          <w:lang w:val="en-AU"/>
        </w:rPr>
        <w:t xml:space="preserve">n explanation of Council’s concerns and the reasons for a </w:t>
      </w:r>
      <w:r w:rsidR="005D6F33" w:rsidRPr="005D6F33">
        <w:rPr>
          <w:rFonts w:ascii="Arial" w:hAnsi="Arial" w:cs="Arial"/>
          <w:b w:val="0"/>
          <w:szCs w:val="24"/>
          <w:lang w:val="en-AU"/>
        </w:rPr>
        <w:t xml:space="preserve">Special Rate and Special Charge </w:t>
      </w:r>
      <w:r w:rsidR="00C82EB6" w:rsidRPr="00C82EB6">
        <w:rPr>
          <w:rFonts w:ascii="Arial" w:hAnsi="Arial" w:cs="Arial"/>
          <w:b w:val="0"/>
          <w:szCs w:val="24"/>
          <w:lang w:val="en-AU"/>
        </w:rPr>
        <w:t xml:space="preserve">Scheme and the opportunities for property owners and other stakeholders to contribute to this process before Council proceeds any </w:t>
      </w:r>
      <w:proofErr w:type="gramStart"/>
      <w:r w:rsidR="00C82EB6" w:rsidRPr="00C82EB6">
        <w:rPr>
          <w:rFonts w:ascii="Arial" w:hAnsi="Arial" w:cs="Arial"/>
          <w:b w:val="0"/>
          <w:szCs w:val="24"/>
          <w:lang w:val="en-AU"/>
        </w:rPr>
        <w:t>further;</w:t>
      </w:r>
      <w:proofErr w:type="gramEnd"/>
      <w:r w:rsidR="00C82EB6" w:rsidRPr="00C82EB6">
        <w:rPr>
          <w:rFonts w:ascii="Arial" w:hAnsi="Arial" w:cs="Arial"/>
          <w:b w:val="0"/>
          <w:szCs w:val="24"/>
          <w:lang w:val="en-AU"/>
        </w:rPr>
        <w:t xml:space="preserve"> </w:t>
      </w:r>
    </w:p>
    <w:p w14:paraId="621890B4" w14:textId="3BC3CC19" w:rsidR="00C82EB6" w:rsidRDefault="008910B7"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A</w:t>
      </w:r>
      <w:r w:rsidR="00C82EB6" w:rsidRPr="00C82EB6">
        <w:rPr>
          <w:rFonts w:ascii="Arial" w:hAnsi="Arial" w:cs="Arial"/>
          <w:b w:val="0"/>
          <w:szCs w:val="24"/>
          <w:lang w:val="en-AU"/>
        </w:rPr>
        <w:t>n indicative estimated cost based on other schemes, including options for payment.</w:t>
      </w:r>
    </w:p>
    <w:p w14:paraId="14B71811" w14:textId="77777777" w:rsidR="008910B7" w:rsidRDefault="008910B7" w:rsidP="00C82EB6">
      <w:pPr>
        <w:pStyle w:val="heading5"/>
        <w:tabs>
          <w:tab w:val="left" w:pos="2805"/>
        </w:tabs>
        <w:ind w:left="360"/>
        <w:jc w:val="both"/>
        <w:rPr>
          <w:rFonts w:ascii="Arial" w:hAnsi="Arial" w:cs="Arial"/>
          <w:b w:val="0"/>
          <w:szCs w:val="24"/>
          <w:lang w:val="en-AU"/>
        </w:rPr>
      </w:pPr>
    </w:p>
    <w:p w14:paraId="154CFDC9" w14:textId="53BB173E" w:rsidR="00C82EB6" w:rsidRPr="00C82EB6" w:rsidRDefault="00C82EB6" w:rsidP="008910B7">
      <w:pPr>
        <w:pStyle w:val="heading5"/>
        <w:tabs>
          <w:tab w:val="left" w:pos="2805"/>
        </w:tabs>
        <w:jc w:val="both"/>
        <w:rPr>
          <w:rFonts w:ascii="Arial" w:hAnsi="Arial" w:cs="Arial"/>
          <w:b w:val="0"/>
          <w:szCs w:val="24"/>
          <w:lang w:val="en-AU"/>
        </w:rPr>
      </w:pPr>
      <w:r w:rsidRPr="00C82EB6">
        <w:rPr>
          <w:rFonts w:ascii="Arial" w:hAnsi="Arial" w:cs="Arial"/>
          <w:b w:val="0"/>
          <w:szCs w:val="24"/>
          <w:lang w:val="en-AU"/>
        </w:rPr>
        <w:t xml:space="preserve">The initial questionnaire will request property owners to indicate in writing </w:t>
      </w:r>
      <w:r w:rsidR="008910B7" w:rsidRPr="00C82EB6">
        <w:rPr>
          <w:rFonts w:ascii="Arial" w:hAnsi="Arial" w:cs="Arial"/>
          <w:b w:val="0"/>
          <w:szCs w:val="24"/>
          <w:lang w:val="en-AU"/>
        </w:rPr>
        <w:t>whether</w:t>
      </w:r>
      <w:r w:rsidRPr="00C82EB6">
        <w:rPr>
          <w:rFonts w:ascii="Arial" w:hAnsi="Arial" w:cs="Arial"/>
          <w:b w:val="0"/>
          <w:szCs w:val="24"/>
          <w:lang w:val="en-AU"/>
        </w:rPr>
        <w:t xml:space="preserve"> they support Council undertaking further investigation and development of concept designs and options for presentation back to property owners for the proposed </w:t>
      </w:r>
      <w:r w:rsidR="005D6F33" w:rsidRPr="005D6F33">
        <w:rPr>
          <w:rFonts w:ascii="Arial" w:hAnsi="Arial" w:cs="Arial"/>
          <w:b w:val="0"/>
          <w:szCs w:val="24"/>
          <w:lang w:val="en-AU"/>
        </w:rPr>
        <w:t xml:space="preserve">Special Rate and Special Charge </w:t>
      </w:r>
      <w:r w:rsidRPr="00C82EB6">
        <w:rPr>
          <w:rFonts w:ascii="Arial" w:hAnsi="Arial" w:cs="Arial"/>
          <w:b w:val="0"/>
          <w:szCs w:val="24"/>
          <w:lang w:val="en-AU"/>
        </w:rPr>
        <w:t>Scheme.</w:t>
      </w:r>
    </w:p>
    <w:p w14:paraId="00B9DD44" w14:textId="7798148C" w:rsidR="00C82EB6" w:rsidRDefault="00C82EB6" w:rsidP="008910B7">
      <w:pPr>
        <w:pStyle w:val="heading5"/>
        <w:tabs>
          <w:tab w:val="left" w:pos="2805"/>
        </w:tabs>
        <w:jc w:val="both"/>
        <w:rPr>
          <w:rFonts w:ascii="Arial" w:hAnsi="Arial" w:cs="Arial"/>
          <w:b w:val="0"/>
          <w:szCs w:val="24"/>
          <w:lang w:val="en-AU"/>
        </w:rPr>
      </w:pPr>
    </w:p>
    <w:p w14:paraId="3FE834A8" w14:textId="77777777" w:rsidR="00C82EB6" w:rsidRPr="008910B7" w:rsidRDefault="00C82EB6" w:rsidP="005D6F33">
      <w:pPr>
        <w:pStyle w:val="heading5"/>
        <w:numPr>
          <w:ilvl w:val="0"/>
          <w:numId w:val="9"/>
        </w:numPr>
        <w:jc w:val="both"/>
        <w:rPr>
          <w:rFonts w:ascii="Arial" w:hAnsi="Arial" w:cs="Arial"/>
          <w:bCs/>
          <w:iCs/>
          <w:szCs w:val="24"/>
        </w:rPr>
      </w:pPr>
      <w:r w:rsidRPr="008910B7">
        <w:rPr>
          <w:rFonts w:ascii="Arial" w:hAnsi="Arial" w:cs="Arial"/>
          <w:bCs/>
          <w:iCs/>
          <w:szCs w:val="24"/>
        </w:rPr>
        <w:t xml:space="preserve">Preliminary Consultation Assessment </w:t>
      </w:r>
    </w:p>
    <w:p w14:paraId="018AC363" w14:textId="3373EB68" w:rsidR="00C82EB6" w:rsidRDefault="00C82EB6" w:rsidP="008910B7">
      <w:pPr>
        <w:pStyle w:val="heading5"/>
        <w:tabs>
          <w:tab w:val="left" w:pos="2805"/>
        </w:tabs>
        <w:jc w:val="both"/>
        <w:rPr>
          <w:rFonts w:ascii="Arial" w:hAnsi="Arial" w:cs="Arial"/>
          <w:b w:val="0"/>
          <w:szCs w:val="24"/>
          <w:lang w:val="en-AU"/>
        </w:rPr>
      </w:pPr>
      <w:r w:rsidRPr="00C82EB6">
        <w:rPr>
          <w:rFonts w:ascii="Arial" w:hAnsi="Arial" w:cs="Arial"/>
          <w:b w:val="0"/>
          <w:szCs w:val="24"/>
          <w:lang w:val="en-AU"/>
        </w:rPr>
        <w:t xml:space="preserve">Ordinarily, unless there are special circumstances and subject to Section 163B of the Act, Council will only proceed further with investigating a proposed Special Charge Scheme if it </w:t>
      </w:r>
      <w:r w:rsidRPr="00C82EB6">
        <w:rPr>
          <w:rFonts w:ascii="Arial" w:hAnsi="Arial" w:cs="Arial"/>
          <w:b w:val="0"/>
          <w:szCs w:val="24"/>
          <w:lang w:val="en-AU"/>
        </w:rPr>
        <w:lastRenderedPageBreak/>
        <w:t xml:space="preserve">receives written support from at least </w:t>
      </w:r>
      <w:proofErr w:type="gramStart"/>
      <w:r w:rsidRPr="00C82EB6">
        <w:rPr>
          <w:rFonts w:ascii="Arial" w:hAnsi="Arial" w:cs="Arial"/>
          <w:b w:val="0"/>
          <w:szCs w:val="24"/>
          <w:lang w:val="en-AU"/>
        </w:rPr>
        <w:t>a majority of</w:t>
      </w:r>
      <w:proofErr w:type="gramEnd"/>
      <w:r w:rsidRPr="00C82EB6">
        <w:rPr>
          <w:rFonts w:ascii="Arial" w:hAnsi="Arial" w:cs="Arial"/>
          <w:b w:val="0"/>
          <w:szCs w:val="24"/>
          <w:lang w:val="en-AU"/>
        </w:rPr>
        <w:t xml:space="preserve"> the persons who will be liable to pay the </w:t>
      </w:r>
      <w:r w:rsidR="005D6F33" w:rsidRPr="00A56308">
        <w:rPr>
          <w:rFonts w:ascii="Arial" w:hAnsi="Arial" w:cs="Arial"/>
          <w:b w:val="0"/>
          <w:szCs w:val="24"/>
          <w:lang w:val="en-AU"/>
        </w:rPr>
        <w:t>Special Rate and/or Special Charge</w:t>
      </w:r>
      <w:r w:rsidRPr="00A56308">
        <w:rPr>
          <w:rFonts w:ascii="Arial" w:hAnsi="Arial" w:cs="Arial"/>
          <w:b w:val="0"/>
          <w:szCs w:val="24"/>
          <w:lang w:val="en-AU"/>
        </w:rPr>
        <w:t xml:space="preserve">. </w:t>
      </w:r>
      <w:r w:rsidR="00A56308" w:rsidRPr="00A56308">
        <w:rPr>
          <w:rFonts w:ascii="Arial" w:hAnsi="Arial" w:cs="Arial"/>
          <w:b w:val="0"/>
          <w:szCs w:val="24"/>
          <w:lang w:val="en-AU"/>
        </w:rPr>
        <w:t>Council would require a minimum level of 80% approval rates from affected property owners to proceed with a Special Charge Scheme</w:t>
      </w:r>
      <w:r w:rsidR="00202C71">
        <w:rPr>
          <w:rFonts w:ascii="Arial" w:hAnsi="Arial" w:cs="Arial"/>
          <w:b w:val="0"/>
          <w:szCs w:val="24"/>
          <w:lang w:val="en-AU"/>
        </w:rPr>
        <w:t xml:space="preserve"> which is classified as the majority within this policy</w:t>
      </w:r>
      <w:r w:rsidR="00A56308" w:rsidRPr="00A56308">
        <w:rPr>
          <w:rFonts w:ascii="Arial" w:hAnsi="Arial" w:cs="Arial"/>
          <w:b w:val="0"/>
          <w:szCs w:val="24"/>
          <w:lang w:val="en-AU"/>
        </w:rPr>
        <w:t>.</w:t>
      </w:r>
    </w:p>
    <w:p w14:paraId="2E8161AE" w14:textId="77777777" w:rsidR="00C82EB6" w:rsidRDefault="00C82EB6" w:rsidP="008910B7">
      <w:pPr>
        <w:pStyle w:val="heading5"/>
        <w:tabs>
          <w:tab w:val="left" w:pos="2805"/>
        </w:tabs>
        <w:jc w:val="both"/>
        <w:rPr>
          <w:rFonts w:ascii="Arial" w:hAnsi="Arial" w:cs="Arial"/>
          <w:b w:val="0"/>
          <w:szCs w:val="24"/>
          <w:lang w:val="en-AU"/>
        </w:rPr>
      </w:pPr>
    </w:p>
    <w:p w14:paraId="49101495" w14:textId="2BE3D3E9" w:rsidR="00C82EB6" w:rsidRDefault="00C82EB6" w:rsidP="008910B7">
      <w:pPr>
        <w:pStyle w:val="heading5"/>
        <w:tabs>
          <w:tab w:val="left" w:pos="2805"/>
        </w:tabs>
        <w:jc w:val="both"/>
        <w:rPr>
          <w:rFonts w:ascii="Arial" w:hAnsi="Arial" w:cs="Arial"/>
          <w:b w:val="0"/>
          <w:szCs w:val="24"/>
          <w:lang w:val="en-AU"/>
        </w:rPr>
      </w:pPr>
      <w:r w:rsidRPr="00C82EB6">
        <w:rPr>
          <w:rFonts w:ascii="Arial" w:hAnsi="Arial" w:cs="Arial"/>
          <w:b w:val="0"/>
          <w:szCs w:val="24"/>
          <w:lang w:val="en-AU"/>
        </w:rPr>
        <w:t xml:space="preserve">Council may decide to proceed with a </w:t>
      </w:r>
      <w:r w:rsidR="005D6F33" w:rsidRPr="005D6F33">
        <w:rPr>
          <w:rFonts w:ascii="Arial" w:hAnsi="Arial" w:cs="Arial"/>
          <w:b w:val="0"/>
          <w:szCs w:val="24"/>
          <w:lang w:val="en-AU"/>
        </w:rPr>
        <w:t xml:space="preserve">Special Rate and Special Charge </w:t>
      </w:r>
      <w:r w:rsidRPr="00C82EB6">
        <w:rPr>
          <w:rFonts w:ascii="Arial" w:hAnsi="Arial" w:cs="Arial"/>
          <w:b w:val="0"/>
          <w:szCs w:val="24"/>
          <w:lang w:val="en-AU"/>
        </w:rPr>
        <w:t xml:space="preserve">Scheme with less than a majority support in accordance with Section 163B of the Act if: </w:t>
      </w:r>
    </w:p>
    <w:p w14:paraId="205936AC" w14:textId="10A3CE1B" w:rsidR="00C82EB6" w:rsidRDefault="008910B7"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T</w:t>
      </w:r>
      <w:r w:rsidR="00C82EB6" w:rsidRPr="00C82EB6">
        <w:rPr>
          <w:rFonts w:ascii="Arial" w:hAnsi="Arial" w:cs="Arial"/>
          <w:b w:val="0"/>
          <w:szCs w:val="24"/>
          <w:lang w:val="en-AU"/>
        </w:rPr>
        <w:t xml:space="preserve">he levy of the </w:t>
      </w:r>
      <w:r w:rsidR="005D6F33" w:rsidRPr="005D6F33">
        <w:rPr>
          <w:rFonts w:ascii="Arial" w:hAnsi="Arial" w:cs="Arial"/>
          <w:b w:val="0"/>
          <w:szCs w:val="24"/>
          <w:lang w:val="en-AU"/>
        </w:rPr>
        <w:t xml:space="preserve">Special Rate and Special Charge </w:t>
      </w:r>
      <w:r w:rsidR="00C82EB6" w:rsidRPr="00C82EB6">
        <w:rPr>
          <w:rFonts w:ascii="Arial" w:hAnsi="Arial" w:cs="Arial"/>
          <w:b w:val="0"/>
          <w:szCs w:val="24"/>
          <w:lang w:val="en-AU"/>
        </w:rPr>
        <w:t>Scheme does not exceed two thirds of the total cost. In this case, Council would normally need to contribute at least one third of the total cost; or</w:t>
      </w:r>
    </w:p>
    <w:p w14:paraId="5BAF7D7F" w14:textId="08D5DE67" w:rsidR="00C82EB6" w:rsidRPr="00C82EB6" w:rsidRDefault="008910B7"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A</w:t>
      </w:r>
      <w:r w:rsidR="00C82EB6" w:rsidRPr="00C82EB6">
        <w:rPr>
          <w:rFonts w:ascii="Arial" w:hAnsi="Arial" w:cs="Arial"/>
          <w:b w:val="0"/>
          <w:szCs w:val="24"/>
          <w:lang w:val="en-AU"/>
        </w:rPr>
        <w:t xml:space="preserve"> drainage </w:t>
      </w:r>
      <w:r w:rsidR="005D6F33" w:rsidRPr="005D6F33">
        <w:rPr>
          <w:rFonts w:ascii="Arial" w:hAnsi="Arial" w:cs="Arial"/>
          <w:b w:val="0"/>
          <w:szCs w:val="24"/>
          <w:lang w:val="en-AU"/>
        </w:rPr>
        <w:t xml:space="preserve">Special Rate and Special Charge </w:t>
      </w:r>
      <w:r w:rsidR="00C82EB6" w:rsidRPr="00C82EB6">
        <w:rPr>
          <w:rFonts w:ascii="Arial" w:hAnsi="Arial" w:cs="Arial"/>
          <w:b w:val="0"/>
          <w:szCs w:val="24"/>
          <w:lang w:val="en-AU"/>
        </w:rPr>
        <w:t>Scheme is required for reasons of public health.</w:t>
      </w:r>
    </w:p>
    <w:p w14:paraId="42C74158" w14:textId="77777777" w:rsidR="00830F64" w:rsidRDefault="00830F64" w:rsidP="00725934">
      <w:pPr>
        <w:pStyle w:val="Default"/>
      </w:pPr>
    </w:p>
    <w:p w14:paraId="077799D2" w14:textId="5737A20B" w:rsidR="00725934" w:rsidRPr="00C82EB6" w:rsidRDefault="00C82EB6" w:rsidP="008910B7">
      <w:pPr>
        <w:pStyle w:val="heading5"/>
        <w:tabs>
          <w:tab w:val="left" w:pos="2805"/>
        </w:tabs>
        <w:jc w:val="both"/>
        <w:rPr>
          <w:rFonts w:ascii="Arial" w:hAnsi="Arial" w:cs="Arial"/>
          <w:b w:val="0"/>
          <w:szCs w:val="24"/>
          <w:lang w:val="en-AU"/>
        </w:rPr>
      </w:pPr>
      <w:r w:rsidRPr="00C82EB6">
        <w:rPr>
          <w:rFonts w:ascii="Arial" w:hAnsi="Arial" w:cs="Arial"/>
          <w:b w:val="0"/>
          <w:szCs w:val="24"/>
          <w:lang w:val="en-AU"/>
        </w:rPr>
        <w:t xml:space="preserve">The decision to proceed or not proceed to the next stage, will be made by the </w:t>
      </w:r>
      <w:r w:rsidR="005D6F33">
        <w:rPr>
          <w:rFonts w:ascii="Arial" w:hAnsi="Arial" w:cs="Arial"/>
          <w:b w:val="0"/>
          <w:szCs w:val="24"/>
          <w:lang w:val="en-AU"/>
        </w:rPr>
        <w:t xml:space="preserve">relevant </w:t>
      </w:r>
      <w:r>
        <w:rPr>
          <w:rFonts w:ascii="Arial" w:hAnsi="Arial" w:cs="Arial"/>
          <w:b w:val="0"/>
          <w:szCs w:val="24"/>
          <w:lang w:val="en-AU"/>
        </w:rPr>
        <w:t>Director</w:t>
      </w:r>
      <w:r w:rsidR="005D6F33">
        <w:rPr>
          <w:rFonts w:ascii="Arial" w:hAnsi="Arial" w:cs="Arial"/>
          <w:b w:val="0"/>
          <w:szCs w:val="24"/>
          <w:lang w:val="en-AU"/>
        </w:rPr>
        <w:t>.</w:t>
      </w:r>
      <w:r>
        <w:rPr>
          <w:rFonts w:ascii="Arial" w:hAnsi="Arial" w:cs="Arial"/>
          <w:b w:val="0"/>
          <w:szCs w:val="24"/>
          <w:lang w:val="en-AU"/>
        </w:rPr>
        <w:t xml:space="preserve"> </w:t>
      </w:r>
      <w:r w:rsidRPr="00C82EB6">
        <w:rPr>
          <w:rFonts w:ascii="Arial" w:hAnsi="Arial" w:cs="Arial"/>
          <w:b w:val="0"/>
          <w:szCs w:val="24"/>
          <w:lang w:val="en-AU"/>
        </w:rPr>
        <w:t xml:space="preserve">If there is not at least </w:t>
      </w:r>
      <w:r w:rsidR="00202C71">
        <w:rPr>
          <w:rFonts w:ascii="Arial" w:hAnsi="Arial" w:cs="Arial"/>
          <w:b w:val="0"/>
          <w:szCs w:val="24"/>
          <w:lang w:val="en-AU"/>
        </w:rPr>
        <w:t xml:space="preserve">80% </w:t>
      </w:r>
      <w:r w:rsidRPr="00C82EB6">
        <w:rPr>
          <w:rFonts w:ascii="Arial" w:hAnsi="Arial" w:cs="Arial"/>
          <w:b w:val="0"/>
          <w:szCs w:val="24"/>
          <w:lang w:val="en-AU"/>
        </w:rPr>
        <w:t xml:space="preserve">majority support or if Council decides not to proceed with a proposed Special Charge </w:t>
      </w:r>
      <w:r w:rsidR="008910B7" w:rsidRPr="00C82EB6">
        <w:rPr>
          <w:rFonts w:ascii="Arial" w:hAnsi="Arial" w:cs="Arial"/>
          <w:b w:val="0"/>
          <w:szCs w:val="24"/>
          <w:lang w:val="en-AU"/>
        </w:rPr>
        <w:t>Scheme,</w:t>
      </w:r>
      <w:r w:rsidRPr="00C82EB6">
        <w:rPr>
          <w:rFonts w:ascii="Arial" w:hAnsi="Arial" w:cs="Arial"/>
          <w:b w:val="0"/>
          <w:szCs w:val="24"/>
          <w:lang w:val="en-AU"/>
        </w:rPr>
        <w:t xml:space="preserve"> then the property owners and other stakeholders must be advised.</w:t>
      </w:r>
    </w:p>
    <w:p w14:paraId="1BFC5F2D" w14:textId="77777777" w:rsidR="00C82EB6" w:rsidRDefault="00C82EB6" w:rsidP="00725934">
      <w:pPr>
        <w:rPr>
          <w:sz w:val="22"/>
          <w:szCs w:val="22"/>
        </w:rPr>
      </w:pPr>
    </w:p>
    <w:p w14:paraId="78FB3496" w14:textId="77777777" w:rsidR="00B0783E" w:rsidRPr="008910B7" w:rsidRDefault="005F2429" w:rsidP="005D6F33">
      <w:pPr>
        <w:pStyle w:val="heading5"/>
        <w:numPr>
          <w:ilvl w:val="0"/>
          <w:numId w:val="9"/>
        </w:numPr>
        <w:jc w:val="both"/>
        <w:rPr>
          <w:rFonts w:ascii="Arial" w:hAnsi="Arial" w:cs="Arial"/>
          <w:bCs/>
          <w:iCs/>
          <w:szCs w:val="24"/>
        </w:rPr>
      </w:pPr>
      <w:r w:rsidRPr="008910B7">
        <w:rPr>
          <w:rFonts w:ascii="Arial" w:hAnsi="Arial" w:cs="Arial"/>
          <w:bCs/>
          <w:iCs/>
          <w:szCs w:val="24"/>
        </w:rPr>
        <w:t>Detailed Scheme Preparation including Further Consultation</w:t>
      </w:r>
    </w:p>
    <w:p w14:paraId="5C77FAF8" w14:textId="77777777" w:rsidR="00B0783E" w:rsidRDefault="005F2429" w:rsidP="00725934">
      <w:pPr>
        <w:pStyle w:val="Default"/>
      </w:pPr>
      <w:r>
        <w:t xml:space="preserve">Following a decision to proceed further with the preparation of a Special Charge Scheme, detailed designs, specifications, construction standards, estimates and apportionments will be prepared by Council staff. This will be done with a high level of further consultation with persons to be affected by the proposal. </w:t>
      </w:r>
    </w:p>
    <w:p w14:paraId="20C05364" w14:textId="77777777" w:rsidR="00B0783E" w:rsidRDefault="00B0783E" w:rsidP="00725934">
      <w:pPr>
        <w:pStyle w:val="Default"/>
      </w:pPr>
    </w:p>
    <w:p w14:paraId="78E0BCE5" w14:textId="77777777" w:rsidR="00B0783E" w:rsidRDefault="005F2429" w:rsidP="00725934">
      <w:pPr>
        <w:pStyle w:val="Default"/>
      </w:pPr>
      <w:r>
        <w:t xml:space="preserve">The further consultation must commence by sending a letter to all persons likely to be affected by the proposal, which must include: </w:t>
      </w:r>
    </w:p>
    <w:p w14:paraId="3C383495" w14:textId="40BC3777" w:rsidR="00B0783E"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R</w:t>
      </w:r>
      <w:r w:rsidR="005F2429" w:rsidRPr="00B25493">
        <w:rPr>
          <w:rFonts w:ascii="Arial" w:hAnsi="Arial" w:cs="Arial"/>
          <w:b w:val="0"/>
          <w:szCs w:val="24"/>
          <w:lang w:val="en-AU"/>
        </w:rPr>
        <w:t xml:space="preserve">eference to how the investigations have been </w:t>
      </w:r>
      <w:proofErr w:type="gramStart"/>
      <w:r w:rsidR="005F2429" w:rsidRPr="00B25493">
        <w:rPr>
          <w:rFonts w:ascii="Arial" w:hAnsi="Arial" w:cs="Arial"/>
          <w:b w:val="0"/>
          <w:szCs w:val="24"/>
          <w:lang w:val="en-AU"/>
        </w:rPr>
        <w:t>initiated;</w:t>
      </w:r>
      <w:proofErr w:type="gramEnd"/>
      <w:r w:rsidR="005F2429" w:rsidRPr="00B25493">
        <w:rPr>
          <w:rFonts w:ascii="Arial" w:hAnsi="Arial" w:cs="Arial"/>
          <w:b w:val="0"/>
          <w:szCs w:val="24"/>
          <w:lang w:val="en-AU"/>
        </w:rPr>
        <w:t xml:space="preserve"> </w:t>
      </w:r>
    </w:p>
    <w:p w14:paraId="7A88EB49" w14:textId="56FB4A68" w:rsidR="00B0783E"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A</w:t>
      </w:r>
      <w:r w:rsidR="005F2429" w:rsidRPr="00B25493">
        <w:rPr>
          <w:rFonts w:ascii="Arial" w:hAnsi="Arial" w:cs="Arial"/>
          <w:b w:val="0"/>
          <w:szCs w:val="24"/>
          <w:lang w:val="en-AU"/>
        </w:rPr>
        <w:t xml:space="preserve">n explanation of the basic principles of the scheme and the future steps leading to its </w:t>
      </w:r>
      <w:proofErr w:type="gramStart"/>
      <w:r w:rsidR="005F2429" w:rsidRPr="00B25493">
        <w:rPr>
          <w:rFonts w:ascii="Arial" w:hAnsi="Arial" w:cs="Arial"/>
          <w:b w:val="0"/>
          <w:szCs w:val="24"/>
          <w:lang w:val="en-AU"/>
        </w:rPr>
        <w:t>finalisation;</w:t>
      </w:r>
      <w:proofErr w:type="gramEnd"/>
      <w:r w:rsidR="005F2429" w:rsidRPr="00B25493">
        <w:rPr>
          <w:rFonts w:ascii="Arial" w:hAnsi="Arial" w:cs="Arial"/>
          <w:b w:val="0"/>
          <w:szCs w:val="24"/>
          <w:lang w:val="en-AU"/>
        </w:rPr>
        <w:t xml:space="preserve"> </w:t>
      </w:r>
    </w:p>
    <w:p w14:paraId="0BE4BF53" w14:textId="3343F98C" w:rsidR="00B0783E"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T</w:t>
      </w:r>
      <w:r w:rsidR="005F2429" w:rsidRPr="00B25493">
        <w:rPr>
          <w:rFonts w:ascii="Arial" w:hAnsi="Arial" w:cs="Arial"/>
          <w:b w:val="0"/>
          <w:szCs w:val="24"/>
          <w:lang w:val="en-AU"/>
        </w:rPr>
        <w:t xml:space="preserve">he name of the Council Officer for contact in relation to individual </w:t>
      </w:r>
      <w:proofErr w:type="gramStart"/>
      <w:r w:rsidR="005F2429" w:rsidRPr="00B25493">
        <w:rPr>
          <w:rFonts w:ascii="Arial" w:hAnsi="Arial" w:cs="Arial"/>
          <w:b w:val="0"/>
          <w:szCs w:val="24"/>
          <w:lang w:val="en-AU"/>
        </w:rPr>
        <w:t>enquiries;</w:t>
      </w:r>
      <w:proofErr w:type="gramEnd"/>
      <w:r w:rsidR="005F2429" w:rsidRPr="00B25493">
        <w:rPr>
          <w:rFonts w:ascii="Arial" w:hAnsi="Arial" w:cs="Arial"/>
          <w:b w:val="0"/>
          <w:szCs w:val="24"/>
          <w:lang w:val="en-AU"/>
        </w:rPr>
        <w:t xml:space="preserve"> </w:t>
      </w:r>
    </w:p>
    <w:p w14:paraId="636688DB" w14:textId="3184DC0E" w:rsidR="00B0783E"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C</w:t>
      </w:r>
      <w:r w:rsidR="005F2429" w:rsidRPr="00B25493">
        <w:rPr>
          <w:rFonts w:ascii="Arial" w:hAnsi="Arial" w:cs="Arial"/>
          <w:b w:val="0"/>
          <w:szCs w:val="24"/>
          <w:lang w:val="en-AU"/>
        </w:rPr>
        <w:t xml:space="preserve">oncept options and associated preliminary </w:t>
      </w:r>
      <w:proofErr w:type="gramStart"/>
      <w:r w:rsidR="005F2429" w:rsidRPr="00B25493">
        <w:rPr>
          <w:rFonts w:ascii="Arial" w:hAnsi="Arial" w:cs="Arial"/>
          <w:b w:val="0"/>
          <w:szCs w:val="24"/>
          <w:lang w:val="en-AU"/>
        </w:rPr>
        <w:t>estimates;</w:t>
      </w:r>
      <w:proofErr w:type="gramEnd"/>
      <w:r w:rsidR="005F2429" w:rsidRPr="00B25493">
        <w:rPr>
          <w:rFonts w:ascii="Arial" w:hAnsi="Arial" w:cs="Arial"/>
          <w:b w:val="0"/>
          <w:szCs w:val="24"/>
          <w:lang w:val="en-AU"/>
        </w:rPr>
        <w:t xml:space="preserve"> </w:t>
      </w:r>
    </w:p>
    <w:p w14:paraId="421DDF23" w14:textId="2F6A14EC" w:rsidR="00B0783E"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A</w:t>
      </w:r>
      <w:r w:rsidR="005F2429" w:rsidRPr="00B25493">
        <w:rPr>
          <w:rFonts w:ascii="Arial" w:hAnsi="Arial" w:cs="Arial"/>
          <w:b w:val="0"/>
          <w:szCs w:val="24"/>
          <w:lang w:val="en-AU"/>
        </w:rPr>
        <w:t xml:space="preserve">n indication of cost to potential contributors; and </w:t>
      </w:r>
    </w:p>
    <w:p w14:paraId="1C2ADD7C" w14:textId="01D4E450" w:rsidR="00B0783E"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A</w:t>
      </w:r>
      <w:r w:rsidR="005F2429" w:rsidRPr="00B25493">
        <w:rPr>
          <w:rFonts w:ascii="Arial" w:hAnsi="Arial" w:cs="Arial"/>
          <w:b w:val="0"/>
          <w:szCs w:val="24"/>
          <w:lang w:val="en-AU"/>
        </w:rPr>
        <w:t xml:space="preserve">dvice that a public meeting may be called to discuss designs. </w:t>
      </w:r>
    </w:p>
    <w:p w14:paraId="663680C2" w14:textId="77777777" w:rsidR="00B0783E" w:rsidRDefault="00B0783E" w:rsidP="00B0783E">
      <w:pPr>
        <w:pStyle w:val="Default"/>
      </w:pPr>
    </w:p>
    <w:p w14:paraId="34C21641" w14:textId="77777777" w:rsidR="00B0783E" w:rsidRDefault="005F2429" w:rsidP="00B0783E">
      <w:pPr>
        <w:pStyle w:val="Default"/>
      </w:pPr>
      <w:r>
        <w:t xml:space="preserve">A further questionnaire will request property owners to indicate, in writing, whether they would support Council formally giving notice of its intention to declare the Special Charge Scheme, while understanding that formal comment on the Scheme will be invited as part of the formal process and opportunity to be formally heard will be provided. </w:t>
      </w:r>
    </w:p>
    <w:p w14:paraId="6E022D70" w14:textId="77777777" w:rsidR="00B0783E" w:rsidRDefault="00B0783E" w:rsidP="00B0783E">
      <w:pPr>
        <w:pStyle w:val="Default"/>
      </w:pPr>
    </w:p>
    <w:p w14:paraId="2AE1B22D" w14:textId="77777777" w:rsidR="00B0783E" w:rsidRPr="008910B7" w:rsidRDefault="005F2429" w:rsidP="005D6F33">
      <w:pPr>
        <w:pStyle w:val="heading5"/>
        <w:numPr>
          <w:ilvl w:val="0"/>
          <w:numId w:val="9"/>
        </w:numPr>
        <w:jc w:val="both"/>
        <w:rPr>
          <w:rFonts w:ascii="Arial" w:hAnsi="Arial" w:cs="Arial"/>
          <w:bCs/>
          <w:iCs/>
          <w:szCs w:val="24"/>
        </w:rPr>
      </w:pPr>
      <w:r w:rsidRPr="008910B7">
        <w:rPr>
          <w:rFonts w:ascii="Arial" w:hAnsi="Arial" w:cs="Arial"/>
          <w:bCs/>
          <w:iCs/>
          <w:szCs w:val="24"/>
        </w:rPr>
        <w:t xml:space="preserve">Apportionment Principles </w:t>
      </w:r>
    </w:p>
    <w:p w14:paraId="724D0986" w14:textId="6AB0B4D1" w:rsidR="00B0783E" w:rsidRDefault="005F2429" w:rsidP="00B0783E">
      <w:pPr>
        <w:pStyle w:val="Default"/>
      </w:pPr>
      <w:r>
        <w:t xml:space="preserve">The calculation of the maximum total levy for a Special Charge Scheme must comply with Section 163(2), (2A) and (2B) of the Act and the Guidelines made by the Minister for Local Government pursuant to Section 163(2C) of the Act. </w:t>
      </w:r>
    </w:p>
    <w:p w14:paraId="1815B6BB" w14:textId="77777777" w:rsidR="008910B7" w:rsidRDefault="008910B7" w:rsidP="00B0783E">
      <w:pPr>
        <w:pStyle w:val="Default"/>
      </w:pPr>
    </w:p>
    <w:p w14:paraId="3046F326" w14:textId="77777777" w:rsidR="00B0783E" w:rsidRDefault="005F2429" w:rsidP="005D6F33">
      <w:pPr>
        <w:pStyle w:val="Default"/>
        <w:spacing w:after="240"/>
      </w:pPr>
      <w:r>
        <w:t xml:space="preserve">In addition, the following requirements must also be </w:t>
      </w:r>
      <w:proofErr w:type="gramStart"/>
      <w:r>
        <w:t>taken into account</w:t>
      </w:r>
      <w:proofErr w:type="gramEnd"/>
      <w:r>
        <w:t xml:space="preserve"> in determining the basis on which apportionment of the Special Charge amongst those persons who are liable to pay the Special Charge will be determined:</w:t>
      </w:r>
    </w:p>
    <w:p w14:paraId="46CB4CA5" w14:textId="402938E9" w:rsidR="00B0783E" w:rsidRPr="008910B7" w:rsidRDefault="008910B7" w:rsidP="003F12B6">
      <w:pPr>
        <w:pStyle w:val="heading5"/>
        <w:numPr>
          <w:ilvl w:val="0"/>
          <w:numId w:val="6"/>
        </w:numPr>
        <w:tabs>
          <w:tab w:val="left" w:pos="2805"/>
        </w:tabs>
        <w:ind w:left="284" w:hanging="284"/>
        <w:jc w:val="both"/>
        <w:rPr>
          <w:rFonts w:ascii="Arial" w:hAnsi="Arial" w:cs="Arial"/>
          <w:b w:val="0"/>
          <w:szCs w:val="24"/>
          <w:lang w:val="en-AU"/>
        </w:rPr>
      </w:pPr>
      <w:r w:rsidRPr="008910B7">
        <w:rPr>
          <w:rFonts w:ascii="Arial" w:hAnsi="Arial" w:cs="Arial"/>
          <w:b w:val="0"/>
          <w:szCs w:val="24"/>
          <w:lang w:val="en-AU"/>
        </w:rPr>
        <w:t>I</w:t>
      </w:r>
      <w:r w:rsidR="005F2429" w:rsidRPr="008910B7">
        <w:rPr>
          <w:rFonts w:ascii="Arial" w:hAnsi="Arial" w:cs="Arial"/>
          <w:b w:val="0"/>
          <w:szCs w:val="24"/>
          <w:lang w:val="en-AU"/>
        </w:rPr>
        <w:t xml:space="preserve">n the case of typical new easement drain installation, the full cost of the work is to be charged to property owners. The cost is to be equally shared between the properties on the high side of the drain where the legal point of discharge is to the new drain and properties on the low </w:t>
      </w:r>
      <w:r w:rsidR="005F2429" w:rsidRPr="008910B7">
        <w:rPr>
          <w:rFonts w:ascii="Arial" w:hAnsi="Arial" w:cs="Arial"/>
          <w:b w:val="0"/>
          <w:szCs w:val="24"/>
          <w:lang w:val="en-AU"/>
        </w:rPr>
        <w:lastRenderedPageBreak/>
        <w:t xml:space="preserve">side that receive protection by the drain. This is consistent with the principle that upper and lower landowners receive equal benefit. The cost is to be based on total area of the properties with consideration being given to all relevant matters, including the natural slope of the land and the resulting flow paths. </w:t>
      </w:r>
    </w:p>
    <w:p w14:paraId="000481D8" w14:textId="2F2F6482" w:rsidR="00B0783E" w:rsidRPr="008910B7" w:rsidRDefault="008910B7"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I</w:t>
      </w:r>
      <w:r w:rsidR="005F2429" w:rsidRPr="008910B7">
        <w:rPr>
          <w:rFonts w:ascii="Arial" w:hAnsi="Arial" w:cs="Arial"/>
          <w:b w:val="0"/>
          <w:szCs w:val="24"/>
          <w:lang w:val="en-AU"/>
        </w:rPr>
        <w:t>n the case of typical road construction, the full cost of the work is to be charged to all property owners who it is considered will receive a special benefit. The apportionment of costs amongst property owners liable to pay the Special Charge will ordinarily (but not always) be based on a combination of benefit (as to 75%) and area (as to 25%). All properties that enjoy a direct frontage to the road being constructed are to be allocated one (1) benefit unit and properties such as corner properties or</w:t>
      </w:r>
      <w:r w:rsidR="00B0783E" w:rsidRPr="008910B7">
        <w:rPr>
          <w:rFonts w:ascii="Arial" w:hAnsi="Arial" w:cs="Arial"/>
          <w:b w:val="0"/>
          <w:szCs w:val="24"/>
          <w:lang w:val="en-AU"/>
        </w:rPr>
        <w:t xml:space="preserve"> </w:t>
      </w:r>
      <w:r w:rsidR="005F2429" w:rsidRPr="008910B7">
        <w:rPr>
          <w:rFonts w:ascii="Arial" w:hAnsi="Arial" w:cs="Arial"/>
          <w:b w:val="0"/>
          <w:szCs w:val="24"/>
          <w:lang w:val="en-AU"/>
        </w:rPr>
        <w:t xml:space="preserve">others which do not enjoy a direct frontage to the road will ordinarily be allocated half (0.5) a benefit unit. Area will be ‘actual area’, although in some cases Council may </w:t>
      </w:r>
      <w:r w:rsidRPr="008910B7">
        <w:rPr>
          <w:rFonts w:ascii="Arial" w:hAnsi="Arial" w:cs="Arial"/>
          <w:b w:val="0"/>
          <w:szCs w:val="24"/>
          <w:lang w:val="en-AU"/>
        </w:rPr>
        <w:t>consider</w:t>
      </w:r>
      <w:r w:rsidR="005F2429" w:rsidRPr="008910B7">
        <w:rPr>
          <w:rFonts w:ascii="Arial" w:hAnsi="Arial" w:cs="Arial"/>
          <w:b w:val="0"/>
          <w:szCs w:val="24"/>
          <w:lang w:val="en-AU"/>
        </w:rPr>
        <w:t xml:space="preserve"> modified area, which can involve the subdivision potential of the land. </w:t>
      </w:r>
    </w:p>
    <w:p w14:paraId="791EF898" w14:textId="680E1BFE" w:rsidR="00B0783E" w:rsidRPr="008910B7" w:rsidRDefault="008910B7"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I</w:t>
      </w:r>
      <w:r w:rsidR="005F2429" w:rsidRPr="008910B7">
        <w:rPr>
          <w:rFonts w:ascii="Arial" w:hAnsi="Arial" w:cs="Arial"/>
          <w:b w:val="0"/>
          <w:szCs w:val="24"/>
          <w:lang w:val="en-AU"/>
        </w:rPr>
        <w:t xml:space="preserve">n the case of other typical schemes to which this policy applies, Council will determine the most reasonable method of distribution of the Special Charge amongst those persons who are liable to pay. </w:t>
      </w:r>
    </w:p>
    <w:p w14:paraId="149B9733" w14:textId="77777777" w:rsidR="00B0783E" w:rsidRDefault="00B0783E" w:rsidP="00B0783E">
      <w:pPr>
        <w:pStyle w:val="Default"/>
      </w:pPr>
    </w:p>
    <w:p w14:paraId="06090047" w14:textId="77777777" w:rsidR="00B0783E" w:rsidRPr="008910B7" w:rsidRDefault="005F2429" w:rsidP="005D6F33">
      <w:pPr>
        <w:pStyle w:val="heading5"/>
        <w:numPr>
          <w:ilvl w:val="0"/>
          <w:numId w:val="9"/>
        </w:numPr>
        <w:jc w:val="both"/>
        <w:rPr>
          <w:rFonts w:ascii="Arial" w:hAnsi="Arial" w:cs="Arial"/>
          <w:bCs/>
          <w:iCs/>
          <w:szCs w:val="24"/>
        </w:rPr>
      </w:pPr>
      <w:r w:rsidRPr="008910B7">
        <w:rPr>
          <w:rFonts w:ascii="Arial" w:hAnsi="Arial" w:cs="Arial"/>
          <w:bCs/>
          <w:iCs/>
          <w:szCs w:val="24"/>
        </w:rPr>
        <w:t xml:space="preserve">Financial Arrangements - General </w:t>
      </w:r>
    </w:p>
    <w:p w14:paraId="549497F7" w14:textId="77777777" w:rsidR="00B0783E" w:rsidRDefault="005F2429" w:rsidP="00B0783E">
      <w:pPr>
        <w:pStyle w:val="Default"/>
      </w:pPr>
      <w:r>
        <w:t xml:space="preserve">Property owners must be given the opportunity to pay the Special Charge by either lump sum or instalments over </w:t>
      </w:r>
      <w:proofErr w:type="gramStart"/>
      <w:r>
        <w:t>a period of time</w:t>
      </w:r>
      <w:proofErr w:type="gramEnd"/>
      <w:r>
        <w:t xml:space="preserve"> that is specified by Council. </w:t>
      </w:r>
    </w:p>
    <w:p w14:paraId="2A66F15D" w14:textId="77777777" w:rsidR="00B0783E" w:rsidRDefault="00B0783E" w:rsidP="00B0783E">
      <w:pPr>
        <w:pStyle w:val="Default"/>
      </w:pPr>
    </w:p>
    <w:p w14:paraId="07144E33" w14:textId="77777777" w:rsidR="00B0783E" w:rsidRDefault="005F2429" w:rsidP="00B0783E">
      <w:pPr>
        <w:pStyle w:val="Default"/>
      </w:pPr>
      <w:r>
        <w:t>The length of time for paying by instalments will be dependent on the amount of the Special Charge, which typically for drainage schemes is five (5) years and for road construction schemes ten (10) years.</w:t>
      </w:r>
    </w:p>
    <w:p w14:paraId="533ECCC7" w14:textId="77777777" w:rsidR="00B0783E" w:rsidRDefault="00B0783E" w:rsidP="00B0783E">
      <w:pPr>
        <w:pStyle w:val="Default"/>
      </w:pPr>
    </w:p>
    <w:p w14:paraId="3B71F89F" w14:textId="77777777" w:rsidR="00B0783E" w:rsidRDefault="005F2429" w:rsidP="00B0783E">
      <w:pPr>
        <w:pStyle w:val="Default"/>
      </w:pPr>
      <w:r>
        <w:t xml:space="preserve">Unless otherwise decided, Council will not charge interest to cover administration costs associated with persons paying the Special Charge by instalments. However, interest will be charged for late payment in accordance with the Act. </w:t>
      </w:r>
    </w:p>
    <w:p w14:paraId="3EA7B9EC" w14:textId="77777777" w:rsidR="00B0783E" w:rsidRDefault="00B0783E" w:rsidP="00B0783E">
      <w:pPr>
        <w:pStyle w:val="Default"/>
      </w:pPr>
    </w:p>
    <w:p w14:paraId="31E4E041" w14:textId="77777777" w:rsidR="00B0783E" w:rsidRDefault="005F2429" w:rsidP="00B0783E">
      <w:pPr>
        <w:pStyle w:val="Default"/>
      </w:pPr>
      <w:r>
        <w:t xml:space="preserve">Council may offer a discount for prompt payment to provide a benefit for the ratepayer, without disadvantaging Council. </w:t>
      </w:r>
    </w:p>
    <w:p w14:paraId="110DA31F" w14:textId="77777777" w:rsidR="00B0783E" w:rsidRDefault="00B0783E" w:rsidP="00B0783E">
      <w:pPr>
        <w:pStyle w:val="Default"/>
      </w:pPr>
    </w:p>
    <w:p w14:paraId="14BA8109" w14:textId="092C354C" w:rsidR="00B0783E" w:rsidRDefault="005F2429" w:rsidP="00B0783E">
      <w:pPr>
        <w:pStyle w:val="Default"/>
      </w:pPr>
      <w:r>
        <w:t xml:space="preserve">Ratepayers experiencing difficult financial circumstances may seek relief in accordance with Council’s </w:t>
      </w:r>
      <w:r w:rsidR="008910B7">
        <w:t>Financial Hardship</w:t>
      </w:r>
      <w:r w:rsidR="00B25493">
        <w:t xml:space="preserve"> </w:t>
      </w:r>
      <w:r>
        <w:t xml:space="preserve">Policy. </w:t>
      </w:r>
    </w:p>
    <w:p w14:paraId="3BFA3316" w14:textId="77777777" w:rsidR="00B0783E" w:rsidRDefault="00B0783E" w:rsidP="00B0783E">
      <w:pPr>
        <w:pStyle w:val="Default"/>
      </w:pPr>
    </w:p>
    <w:p w14:paraId="5DC14F73" w14:textId="77777777" w:rsidR="00B0783E" w:rsidRPr="00B25493" w:rsidRDefault="005F2429" w:rsidP="005D6F33">
      <w:pPr>
        <w:pStyle w:val="heading5"/>
        <w:numPr>
          <w:ilvl w:val="0"/>
          <w:numId w:val="9"/>
        </w:numPr>
        <w:jc w:val="both"/>
        <w:rPr>
          <w:rFonts w:ascii="Arial" w:hAnsi="Arial" w:cs="Arial"/>
          <w:bCs/>
          <w:iCs/>
          <w:szCs w:val="24"/>
        </w:rPr>
      </w:pPr>
      <w:r w:rsidRPr="00B25493">
        <w:rPr>
          <w:rFonts w:ascii="Arial" w:hAnsi="Arial" w:cs="Arial"/>
          <w:bCs/>
          <w:iCs/>
          <w:szCs w:val="24"/>
        </w:rPr>
        <w:t xml:space="preserve">Council Report </w:t>
      </w:r>
    </w:p>
    <w:p w14:paraId="330A92E6" w14:textId="4B3CD703" w:rsidR="00B0783E" w:rsidRDefault="005F2429" w:rsidP="00B0783E">
      <w:pPr>
        <w:pStyle w:val="Default"/>
      </w:pPr>
      <w:r>
        <w:t xml:space="preserve">If the further consultation with affected </w:t>
      </w:r>
      <w:r w:rsidR="00B25493">
        <w:t>residents’</w:t>
      </w:r>
      <w:r>
        <w:t xml:space="preserve"> results in there still being broad support for the Special Charge Scheme and an acceptance of preliminary costings and Special Charge contributions, a report will be prepared to Council in which Council is invited to give formal public notice of its intention to declare the Special Charge. </w:t>
      </w:r>
    </w:p>
    <w:p w14:paraId="4BFC7651" w14:textId="77777777" w:rsidR="00B0783E" w:rsidRDefault="00B0783E" w:rsidP="00B0783E">
      <w:pPr>
        <w:pStyle w:val="Default"/>
      </w:pPr>
    </w:p>
    <w:p w14:paraId="40DB7CAF" w14:textId="77777777" w:rsidR="00B0783E" w:rsidRDefault="005F2429" w:rsidP="00B0783E">
      <w:pPr>
        <w:pStyle w:val="Default"/>
      </w:pPr>
      <w:r>
        <w:t xml:space="preserve">Should Council resolve its intention to declare a Special Charge, public notice and separate notice to persons who will be liable to pay the Special Charge must be given in accordance with the requirements of Sections 163(1A), (1B), (1C), 163A, 163B and 223 of the Act in a newspaper or newspapers that have been chosen by Council and which circulate generally throughout the municipal district. </w:t>
      </w:r>
    </w:p>
    <w:p w14:paraId="3EDBC45F" w14:textId="77777777" w:rsidR="00B0783E" w:rsidRDefault="00B0783E" w:rsidP="00B0783E">
      <w:pPr>
        <w:pStyle w:val="Default"/>
      </w:pPr>
    </w:p>
    <w:p w14:paraId="4F25B3FD" w14:textId="77777777" w:rsidR="00B0783E" w:rsidRDefault="005F2429" w:rsidP="00B0783E">
      <w:pPr>
        <w:pStyle w:val="Default"/>
      </w:pPr>
      <w:r>
        <w:t xml:space="preserve">The report must also indicate the </w:t>
      </w:r>
      <w:proofErr w:type="gramStart"/>
      <w:r>
        <w:t>manner in which</w:t>
      </w:r>
      <w:proofErr w:type="gramEnd"/>
      <w:r>
        <w:t xml:space="preserve"> Council proposes to deal with any submissions it receives under Section 223 of the Act, including the hearing of persons or their representatives who wish to speak in support of the submission. </w:t>
      </w:r>
    </w:p>
    <w:p w14:paraId="0C4739AF" w14:textId="77777777" w:rsidR="00B0783E" w:rsidRDefault="00B0783E" w:rsidP="00B0783E">
      <w:pPr>
        <w:pStyle w:val="Default"/>
      </w:pPr>
    </w:p>
    <w:p w14:paraId="6FBF6030" w14:textId="77777777" w:rsidR="00B0783E" w:rsidRPr="00B25493" w:rsidRDefault="005F2429" w:rsidP="005D6F33">
      <w:pPr>
        <w:pStyle w:val="heading5"/>
        <w:numPr>
          <w:ilvl w:val="0"/>
          <w:numId w:val="9"/>
        </w:numPr>
        <w:jc w:val="both"/>
        <w:rPr>
          <w:rFonts w:ascii="Arial" w:hAnsi="Arial" w:cs="Arial"/>
          <w:bCs/>
          <w:iCs/>
          <w:szCs w:val="24"/>
        </w:rPr>
      </w:pPr>
      <w:r w:rsidRPr="00B25493">
        <w:rPr>
          <w:rFonts w:ascii="Arial" w:hAnsi="Arial" w:cs="Arial"/>
          <w:bCs/>
          <w:iCs/>
          <w:szCs w:val="24"/>
        </w:rPr>
        <w:t xml:space="preserve">Written Submissions </w:t>
      </w:r>
    </w:p>
    <w:p w14:paraId="19E57E3D" w14:textId="1F7F2F0D" w:rsidR="00B0783E" w:rsidRDefault="005F2429" w:rsidP="00B0783E">
      <w:pPr>
        <w:pStyle w:val="Default"/>
      </w:pPr>
      <w:r>
        <w:t xml:space="preserve">Written submissions lodged in support of or in opposition to a Special Charge Scheme may request that the </w:t>
      </w:r>
      <w:r w:rsidR="00B25493">
        <w:t>submitter</w:t>
      </w:r>
      <w:r>
        <w:t xml:space="preserve"> be heard in support of their written submission. Persons wishing to be heard may appear before a committee of Council comprising </w:t>
      </w:r>
      <w:r w:rsidR="005D6F33">
        <w:t xml:space="preserve">three </w:t>
      </w:r>
      <w:r>
        <w:t xml:space="preserve">Councillors, the relevant </w:t>
      </w:r>
      <w:r w:rsidR="00B0783E">
        <w:t>Director</w:t>
      </w:r>
      <w:r>
        <w:t xml:space="preserve"> and other interested Councillors, subject to Council making the appropriate appointment. </w:t>
      </w:r>
    </w:p>
    <w:p w14:paraId="76313C81" w14:textId="77777777" w:rsidR="00B0783E" w:rsidRDefault="00B0783E" w:rsidP="00B0783E">
      <w:pPr>
        <w:pStyle w:val="Default"/>
      </w:pPr>
    </w:p>
    <w:p w14:paraId="131269E2" w14:textId="08EA5DCC" w:rsidR="00B0783E" w:rsidRDefault="005F2429" w:rsidP="00B0783E">
      <w:pPr>
        <w:pStyle w:val="Default"/>
      </w:pPr>
      <w:r>
        <w:t xml:space="preserve">After the committee so appointed by Council has heard all </w:t>
      </w:r>
      <w:r w:rsidR="00B25493">
        <w:t>submitters</w:t>
      </w:r>
      <w:r>
        <w:t xml:space="preserve">, it must produce minutes of the committee meeting and make a recommendation to Council for a final decision by Council. </w:t>
      </w:r>
    </w:p>
    <w:p w14:paraId="4F0E2099" w14:textId="77777777" w:rsidR="00B0783E" w:rsidRDefault="00B0783E" w:rsidP="00B0783E">
      <w:pPr>
        <w:pStyle w:val="Default"/>
      </w:pPr>
    </w:p>
    <w:p w14:paraId="1FCEE909" w14:textId="77777777" w:rsidR="00B0783E" w:rsidRPr="00B25493" w:rsidRDefault="005F2429" w:rsidP="005D6F33">
      <w:pPr>
        <w:pStyle w:val="heading5"/>
        <w:numPr>
          <w:ilvl w:val="0"/>
          <w:numId w:val="9"/>
        </w:numPr>
        <w:jc w:val="both"/>
        <w:rPr>
          <w:rFonts w:ascii="Arial" w:hAnsi="Arial" w:cs="Arial"/>
          <w:bCs/>
          <w:iCs/>
          <w:szCs w:val="24"/>
        </w:rPr>
      </w:pPr>
      <w:r w:rsidRPr="00B25493">
        <w:rPr>
          <w:rFonts w:ascii="Arial" w:hAnsi="Arial" w:cs="Arial"/>
          <w:bCs/>
          <w:iCs/>
          <w:szCs w:val="24"/>
        </w:rPr>
        <w:t xml:space="preserve">Council Resolution Following Consideration of Submissions </w:t>
      </w:r>
    </w:p>
    <w:p w14:paraId="29B439B4" w14:textId="201758C3" w:rsidR="00B0783E" w:rsidRDefault="005F2429" w:rsidP="00B0783E">
      <w:pPr>
        <w:pStyle w:val="Default"/>
      </w:pPr>
      <w:r>
        <w:t xml:space="preserve">Following a consideration of submissions, including any recommendation of the committee (in the context of a report being before Council on </w:t>
      </w:r>
      <w:r w:rsidR="00B25493">
        <w:t>whether</w:t>
      </w:r>
      <w:r>
        <w:t xml:space="preserve"> Council should proceed with the declaration of Special Charge for which public notice has been given), Council may (a precondition of which, however, is a consideration of submissions according to law) resolve to:</w:t>
      </w:r>
    </w:p>
    <w:p w14:paraId="5D0AE69D" w14:textId="3084575E" w:rsidR="00B0783E"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A</w:t>
      </w:r>
      <w:r w:rsidR="005F2429" w:rsidRPr="00B25493">
        <w:rPr>
          <w:rFonts w:ascii="Arial" w:hAnsi="Arial" w:cs="Arial"/>
          <w:b w:val="0"/>
          <w:szCs w:val="24"/>
          <w:lang w:val="en-AU"/>
        </w:rPr>
        <w:t xml:space="preserve">bandon the proposed Special Charge Scheme by not giving effect to the proposed declaration to levy the Special Charge; or </w:t>
      </w:r>
    </w:p>
    <w:p w14:paraId="33690DAA" w14:textId="264B9818" w:rsidR="00B0783E"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P</w:t>
      </w:r>
      <w:r w:rsidR="005F2429" w:rsidRPr="00B25493">
        <w:rPr>
          <w:rFonts w:ascii="Arial" w:hAnsi="Arial" w:cs="Arial"/>
          <w:b w:val="0"/>
          <w:szCs w:val="24"/>
          <w:lang w:val="en-AU"/>
        </w:rPr>
        <w:t xml:space="preserve">repare a new Special Charge Scheme, due to the need to significantly modify the original scheme, thereby requiring the process to be recommenced; or </w:t>
      </w:r>
    </w:p>
    <w:p w14:paraId="33A0FBDF" w14:textId="29A860FA"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P</w:t>
      </w:r>
      <w:r w:rsidR="005F2429" w:rsidRPr="00B25493">
        <w:rPr>
          <w:rFonts w:ascii="Arial" w:hAnsi="Arial" w:cs="Arial"/>
          <w:b w:val="0"/>
          <w:szCs w:val="24"/>
          <w:lang w:val="en-AU"/>
        </w:rPr>
        <w:t xml:space="preserve">roceed, with or without minor variation to the original declaration, to declare the proposed Special Charge. </w:t>
      </w:r>
    </w:p>
    <w:p w14:paraId="27675563" w14:textId="77777777" w:rsidR="00EB0E20" w:rsidRDefault="00EB0E20" w:rsidP="00EB0E20">
      <w:pPr>
        <w:pStyle w:val="Default"/>
      </w:pPr>
    </w:p>
    <w:p w14:paraId="3187C981" w14:textId="77777777" w:rsidR="00EB0E20" w:rsidRDefault="005F2429" w:rsidP="00EB0E20">
      <w:pPr>
        <w:pStyle w:val="Default"/>
      </w:pPr>
      <w:r>
        <w:t xml:space="preserve">All persons making submissions and all persons affected by the Special Charge Scheme must be advised of Council’s resolution, and the reasons for the decision. </w:t>
      </w:r>
    </w:p>
    <w:p w14:paraId="56EAAF58" w14:textId="77777777" w:rsidR="00EB0E20" w:rsidRDefault="00EB0E20" w:rsidP="00EB0E20">
      <w:pPr>
        <w:pStyle w:val="Default"/>
      </w:pPr>
    </w:p>
    <w:p w14:paraId="67A3725F" w14:textId="77777777" w:rsidR="00EB0E20" w:rsidRDefault="005F2429" w:rsidP="00EB0E20">
      <w:pPr>
        <w:pStyle w:val="Default"/>
      </w:pPr>
      <w:r>
        <w:t xml:space="preserve">In circumstances where no submissions have been lodged, Council may resolve to proceed to declare the Special Charge. </w:t>
      </w:r>
    </w:p>
    <w:p w14:paraId="15C17FAF" w14:textId="77777777" w:rsidR="00EB0E20" w:rsidRDefault="00EB0E20" w:rsidP="00EB0E20">
      <w:pPr>
        <w:pStyle w:val="Default"/>
      </w:pPr>
    </w:p>
    <w:p w14:paraId="293CA8CC" w14:textId="77777777" w:rsidR="00EB0E20" w:rsidRDefault="005F2429" w:rsidP="005D6F33">
      <w:pPr>
        <w:pStyle w:val="heading5"/>
        <w:numPr>
          <w:ilvl w:val="0"/>
          <w:numId w:val="9"/>
        </w:numPr>
        <w:jc w:val="both"/>
      </w:pPr>
      <w:r w:rsidRPr="00B25493">
        <w:rPr>
          <w:rFonts w:ascii="Arial" w:hAnsi="Arial" w:cs="Arial"/>
          <w:bCs/>
          <w:iCs/>
          <w:szCs w:val="24"/>
        </w:rPr>
        <w:t xml:space="preserve">Final Report to Council of Declaration of Special Charge </w:t>
      </w:r>
    </w:p>
    <w:p w14:paraId="67B87A0A" w14:textId="77777777" w:rsidR="00EB0E20" w:rsidRDefault="005F2429" w:rsidP="00EB0E20">
      <w:pPr>
        <w:pStyle w:val="Default"/>
      </w:pPr>
      <w:r>
        <w:t>The final report, which is to be provided to Council, with a recommendation to proceed with the declaration of Special Charge, must include:</w:t>
      </w:r>
    </w:p>
    <w:p w14:paraId="467F45D5" w14:textId="08D8B087"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T</w:t>
      </w:r>
      <w:r w:rsidR="005F2429" w:rsidRPr="00B25493">
        <w:rPr>
          <w:rFonts w:ascii="Arial" w:hAnsi="Arial" w:cs="Arial"/>
          <w:b w:val="0"/>
          <w:szCs w:val="24"/>
          <w:lang w:val="en-AU"/>
        </w:rPr>
        <w:t xml:space="preserve">he objectives of the proposal, specifying why the works are considered necessary and who the special beneficiaries will </w:t>
      </w:r>
      <w:proofErr w:type="gramStart"/>
      <w:r w:rsidR="005F2429" w:rsidRPr="00B25493">
        <w:rPr>
          <w:rFonts w:ascii="Arial" w:hAnsi="Arial" w:cs="Arial"/>
          <w:b w:val="0"/>
          <w:szCs w:val="24"/>
          <w:lang w:val="en-AU"/>
        </w:rPr>
        <w:t>be;</w:t>
      </w:r>
      <w:proofErr w:type="gramEnd"/>
      <w:r w:rsidR="005F2429" w:rsidRPr="00B25493">
        <w:rPr>
          <w:rFonts w:ascii="Arial" w:hAnsi="Arial" w:cs="Arial"/>
          <w:b w:val="0"/>
          <w:szCs w:val="24"/>
          <w:lang w:val="en-AU"/>
        </w:rPr>
        <w:t xml:space="preserve"> </w:t>
      </w:r>
    </w:p>
    <w:p w14:paraId="361AF1AA" w14:textId="17AB0CE7"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T</w:t>
      </w:r>
      <w:r w:rsidR="005F2429" w:rsidRPr="00B25493">
        <w:rPr>
          <w:rFonts w:ascii="Arial" w:hAnsi="Arial" w:cs="Arial"/>
          <w:b w:val="0"/>
          <w:szCs w:val="24"/>
          <w:lang w:val="en-AU"/>
        </w:rPr>
        <w:t xml:space="preserve">he detailed design plans defining the scope of the scheme; and </w:t>
      </w:r>
    </w:p>
    <w:p w14:paraId="3D89B2B3" w14:textId="53554389"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A</w:t>
      </w:r>
      <w:r w:rsidR="005F2429" w:rsidRPr="00B25493">
        <w:rPr>
          <w:rFonts w:ascii="Arial" w:hAnsi="Arial" w:cs="Arial"/>
          <w:b w:val="0"/>
          <w:szCs w:val="24"/>
          <w:lang w:val="en-AU"/>
        </w:rPr>
        <w:t xml:space="preserve"> recommendation for the use of a Special Charge. </w:t>
      </w:r>
    </w:p>
    <w:p w14:paraId="22F6FC36" w14:textId="77777777" w:rsidR="00EB0E20" w:rsidRDefault="00EB0E20" w:rsidP="00EB0E20">
      <w:pPr>
        <w:pStyle w:val="Default"/>
      </w:pPr>
    </w:p>
    <w:p w14:paraId="5AD44191" w14:textId="77777777" w:rsidR="00EB0E20" w:rsidRDefault="005F2429" w:rsidP="00EB0E20">
      <w:pPr>
        <w:pStyle w:val="Default"/>
      </w:pPr>
      <w:r>
        <w:t xml:space="preserve">The resolution for Council to declare a Special Charge must include: </w:t>
      </w:r>
    </w:p>
    <w:p w14:paraId="24490802" w14:textId="355FE5FC"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T</w:t>
      </w:r>
      <w:r w:rsidR="005F2429" w:rsidRPr="00B25493">
        <w:rPr>
          <w:rFonts w:ascii="Arial" w:hAnsi="Arial" w:cs="Arial"/>
          <w:b w:val="0"/>
          <w:szCs w:val="24"/>
          <w:lang w:val="en-AU"/>
        </w:rPr>
        <w:t xml:space="preserve">he period for which the Special Charge remains in </w:t>
      </w:r>
      <w:proofErr w:type="gramStart"/>
      <w:r w:rsidR="005F2429" w:rsidRPr="00B25493">
        <w:rPr>
          <w:rFonts w:ascii="Arial" w:hAnsi="Arial" w:cs="Arial"/>
          <w:b w:val="0"/>
          <w:szCs w:val="24"/>
          <w:lang w:val="en-AU"/>
        </w:rPr>
        <w:t>force;</w:t>
      </w:r>
      <w:proofErr w:type="gramEnd"/>
      <w:r w:rsidR="005F2429" w:rsidRPr="00B25493">
        <w:rPr>
          <w:rFonts w:ascii="Arial" w:hAnsi="Arial" w:cs="Arial"/>
          <w:b w:val="0"/>
          <w:szCs w:val="24"/>
          <w:lang w:val="en-AU"/>
        </w:rPr>
        <w:t xml:space="preserve"> </w:t>
      </w:r>
    </w:p>
    <w:p w14:paraId="41AEA580" w14:textId="657CA1F2"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Th</w:t>
      </w:r>
      <w:r w:rsidR="005F2429" w:rsidRPr="00B25493">
        <w:rPr>
          <w:rFonts w:ascii="Arial" w:hAnsi="Arial" w:cs="Arial"/>
          <w:b w:val="0"/>
          <w:szCs w:val="24"/>
          <w:lang w:val="en-AU"/>
        </w:rPr>
        <w:t xml:space="preserve">e purpose of the Special </w:t>
      </w:r>
      <w:proofErr w:type="gramStart"/>
      <w:r w:rsidR="005F2429" w:rsidRPr="00B25493">
        <w:rPr>
          <w:rFonts w:ascii="Arial" w:hAnsi="Arial" w:cs="Arial"/>
          <w:b w:val="0"/>
          <w:szCs w:val="24"/>
          <w:lang w:val="en-AU"/>
        </w:rPr>
        <w:t>Charge;</w:t>
      </w:r>
      <w:proofErr w:type="gramEnd"/>
      <w:r w:rsidR="005F2429" w:rsidRPr="00B25493">
        <w:rPr>
          <w:rFonts w:ascii="Arial" w:hAnsi="Arial" w:cs="Arial"/>
          <w:b w:val="0"/>
          <w:szCs w:val="24"/>
          <w:lang w:val="en-AU"/>
        </w:rPr>
        <w:t xml:space="preserve"> </w:t>
      </w:r>
    </w:p>
    <w:p w14:paraId="201E2E33" w14:textId="1B11813B"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T</w:t>
      </w:r>
      <w:r w:rsidR="005F2429" w:rsidRPr="00B25493">
        <w:rPr>
          <w:rFonts w:ascii="Arial" w:hAnsi="Arial" w:cs="Arial"/>
          <w:b w:val="0"/>
          <w:szCs w:val="24"/>
          <w:lang w:val="en-AU"/>
        </w:rPr>
        <w:t xml:space="preserve">he wards, groups, uses or areas for which the Special Charge is </w:t>
      </w:r>
      <w:proofErr w:type="gramStart"/>
      <w:r w:rsidR="005F2429" w:rsidRPr="00B25493">
        <w:rPr>
          <w:rFonts w:ascii="Arial" w:hAnsi="Arial" w:cs="Arial"/>
          <w:b w:val="0"/>
          <w:szCs w:val="24"/>
          <w:lang w:val="en-AU"/>
        </w:rPr>
        <w:t>declared;</w:t>
      </w:r>
      <w:proofErr w:type="gramEnd"/>
      <w:r w:rsidR="005F2429" w:rsidRPr="00B25493">
        <w:rPr>
          <w:rFonts w:ascii="Arial" w:hAnsi="Arial" w:cs="Arial"/>
          <w:b w:val="0"/>
          <w:szCs w:val="24"/>
          <w:lang w:val="en-AU"/>
        </w:rPr>
        <w:t xml:space="preserve"> </w:t>
      </w:r>
    </w:p>
    <w:p w14:paraId="4BC6A464" w14:textId="34CA7793"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T</w:t>
      </w:r>
      <w:r w:rsidR="005F2429" w:rsidRPr="00B25493">
        <w:rPr>
          <w:rFonts w:ascii="Arial" w:hAnsi="Arial" w:cs="Arial"/>
          <w:b w:val="0"/>
          <w:szCs w:val="24"/>
          <w:lang w:val="en-AU"/>
        </w:rPr>
        <w:t xml:space="preserve">he land in relation to which the Special Charge is </w:t>
      </w:r>
      <w:proofErr w:type="gramStart"/>
      <w:r w:rsidR="005F2429" w:rsidRPr="00B25493">
        <w:rPr>
          <w:rFonts w:ascii="Arial" w:hAnsi="Arial" w:cs="Arial"/>
          <w:b w:val="0"/>
          <w:szCs w:val="24"/>
          <w:lang w:val="en-AU"/>
        </w:rPr>
        <w:t>declared;</w:t>
      </w:r>
      <w:proofErr w:type="gramEnd"/>
      <w:r w:rsidR="005F2429" w:rsidRPr="00B25493">
        <w:rPr>
          <w:rFonts w:ascii="Arial" w:hAnsi="Arial" w:cs="Arial"/>
          <w:b w:val="0"/>
          <w:szCs w:val="24"/>
          <w:lang w:val="en-AU"/>
        </w:rPr>
        <w:t xml:space="preserve"> </w:t>
      </w:r>
    </w:p>
    <w:p w14:paraId="1072CFCF" w14:textId="59874D5E"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T</w:t>
      </w:r>
      <w:r w:rsidR="005F2429" w:rsidRPr="00B25493">
        <w:rPr>
          <w:rFonts w:ascii="Arial" w:hAnsi="Arial" w:cs="Arial"/>
          <w:b w:val="0"/>
          <w:szCs w:val="24"/>
          <w:lang w:val="en-AU"/>
        </w:rPr>
        <w:t xml:space="preserve">he criteria which </w:t>
      </w:r>
      <w:proofErr w:type="gramStart"/>
      <w:r w:rsidR="005F2429" w:rsidRPr="00B25493">
        <w:rPr>
          <w:rFonts w:ascii="Arial" w:hAnsi="Arial" w:cs="Arial"/>
          <w:b w:val="0"/>
          <w:szCs w:val="24"/>
          <w:lang w:val="en-AU"/>
        </w:rPr>
        <w:t>forms</w:t>
      </w:r>
      <w:proofErr w:type="gramEnd"/>
      <w:r w:rsidR="005F2429" w:rsidRPr="00B25493">
        <w:rPr>
          <w:rFonts w:ascii="Arial" w:hAnsi="Arial" w:cs="Arial"/>
          <w:b w:val="0"/>
          <w:szCs w:val="24"/>
          <w:lang w:val="en-AU"/>
        </w:rPr>
        <w:t xml:space="preserve"> the basis of the Special Charge; </w:t>
      </w:r>
    </w:p>
    <w:p w14:paraId="399AF43F" w14:textId="172DB0B4"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T</w:t>
      </w:r>
      <w:r w:rsidR="005F2429" w:rsidRPr="00B25493">
        <w:rPr>
          <w:rFonts w:ascii="Arial" w:hAnsi="Arial" w:cs="Arial"/>
          <w:b w:val="0"/>
          <w:szCs w:val="24"/>
          <w:lang w:val="en-AU"/>
        </w:rPr>
        <w:t xml:space="preserve">he manner in which the Special Charge will be assessed and </w:t>
      </w:r>
      <w:proofErr w:type="gramStart"/>
      <w:r w:rsidR="005F2429" w:rsidRPr="00B25493">
        <w:rPr>
          <w:rFonts w:ascii="Arial" w:hAnsi="Arial" w:cs="Arial"/>
          <w:b w:val="0"/>
          <w:szCs w:val="24"/>
          <w:lang w:val="en-AU"/>
        </w:rPr>
        <w:t>levied;</w:t>
      </w:r>
      <w:proofErr w:type="gramEnd"/>
      <w:r w:rsidR="005F2429" w:rsidRPr="00B25493">
        <w:rPr>
          <w:rFonts w:ascii="Arial" w:hAnsi="Arial" w:cs="Arial"/>
          <w:b w:val="0"/>
          <w:szCs w:val="24"/>
          <w:lang w:val="en-AU"/>
        </w:rPr>
        <w:t xml:space="preserve"> </w:t>
      </w:r>
    </w:p>
    <w:p w14:paraId="3A2C135B" w14:textId="1BAF2E26"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A</w:t>
      </w:r>
      <w:r w:rsidR="005F2429" w:rsidRPr="00B25493">
        <w:rPr>
          <w:rFonts w:ascii="Arial" w:hAnsi="Arial" w:cs="Arial"/>
          <w:b w:val="0"/>
          <w:szCs w:val="24"/>
          <w:lang w:val="en-AU"/>
        </w:rPr>
        <w:t xml:space="preserve">n estimate of the Special Charge for all property owners. This estimate must include ancillary costs such as survey, design, supervision and </w:t>
      </w:r>
      <w:proofErr w:type="gramStart"/>
      <w:r w:rsidR="005F2429" w:rsidRPr="00B25493">
        <w:rPr>
          <w:rFonts w:ascii="Arial" w:hAnsi="Arial" w:cs="Arial"/>
          <w:b w:val="0"/>
          <w:szCs w:val="24"/>
          <w:lang w:val="en-AU"/>
        </w:rPr>
        <w:t>administration;</w:t>
      </w:r>
      <w:proofErr w:type="gramEnd"/>
      <w:r w:rsidR="005F2429" w:rsidRPr="00B25493">
        <w:rPr>
          <w:rFonts w:ascii="Arial" w:hAnsi="Arial" w:cs="Arial"/>
          <w:b w:val="0"/>
          <w:szCs w:val="24"/>
          <w:lang w:val="en-AU"/>
        </w:rPr>
        <w:t xml:space="preserve"> </w:t>
      </w:r>
    </w:p>
    <w:p w14:paraId="2F9D569C" w14:textId="10989B92"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T</w:t>
      </w:r>
      <w:r w:rsidR="005F2429" w:rsidRPr="00B25493">
        <w:rPr>
          <w:rFonts w:ascii="Arial" w:hAnsi="Arial" w:cs="Arial"/>
          <w:b w:val="0"/>
          <w:szCs w:val="24"/>
          <w:lang w:val="en-AU"/>
        </w:rPr>
        <w:t xml:space="preserve">he impact of the Council’s liability to the contribution in the event of over </w:t>
      </w:r>
      <w:proofErr w:type="gramStart"/>
      <w:r w:rsidR="005F2429" w:rsidRPr="00B25493">
        <w:rPr>
          <w:rFonts w:ascii="Arial" w:hAnsi="Arial" w:cs="Arial"/>
          <w:b w:val="0"/>
          <w:szCs w:val="24"/>
          <w:lang w:val="en-AU"/>
        </w:rPr>
        <w:t>expenditure;</w:t>
      </w:r>
      <w:proofErr w:type="gramEnd"/>
      <w:r w:rsidR="005F2429" w:rsidRPr="00B25493">
        <w:rPr>
          <w:rFonts w:ascii="Arial" w:hAnsi="Arial" w:cs="Arial"/>
          <w:b w:val="0"/>
          <w:szCs w:val="24"/>
          <w:lang w:val="en-AU"/>
        </w:rPr>
        <w:t xml:space="preserve"> </w:t>
      </w:r>
    </w:p>
    <w:p w14:paraId="35949FBE" w14:textId="71B4FBEE"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lastRenderedPageBreak/>
        <w:t>P</w:t>
      </w:r>
      <w:r w:rsidR="005F2429" w:rsidRPr="00B25493">
        <w:rPr>
          <w:rFonts w:ascii="Arial" w:hAnsi="Arial" w:cs="Arial"/>
          <w:b w:val="0"/>
          <w:szCs w:val="24"/>
          <w:lang w:val="en-AU"/>
        </w:rPr>
        <w:t xml:space="preserve">ayment options given to </w:t>
      </w:r>
      <w:proofErr w:type="gramStart"/>
      <w:r w:rsidR="005F2429" w:rsidRPr="00B25493">
        <w:rPr>
          <w:rFonts w:ascii="Arial" w:hAnsi="Arial" w:cs="Arial"/>
          <w:b w:val="0"/>
          <w:szCs w:val="24"/>
          <w:lang w:val="en-AU"/>
        </w:rPr>
        <w:t>ratepayers;</w:t>
      </w:r>
      <w:proofErr w:type="gramEnd"/>
      <w:r w:rsidR="005F2429" w:rsidRPr="00B25493">
        <w:rPr>
          <w:rFonts w:ascii="Arial" w:hAnsi="Arial" w:cs="Arial"/>
          <w:b w:val="0"/>
          <w:szCs w:val="24"/>
          <w:lang w:val="en-AU"/>
        </w:rPr>
        <w:t xml:space="preserve"> </w:t>
      </w:r>
    </w:p>
    <w:p w14:paraId="0587E6F2" w14:textId="5D52EDB2"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D</w:t>
      </w:r>
      <w:r w:rsidR="005F2429" w:rsidRPr="00B25493">
        <w:rPr>
          <w:rFonts w:ascii="Arial" w:hAnsi="Arial" w:cs="Arial"/>
          <w:b w:val="0"/>
          <w:szCs w:val="24"/>
          <w:lang w:val="en-AU"/>
        </w:rPr>
        <w:t xml:space="preserve">etails of planning policies and specific objectives (if any) in relation to the scheme </w:t>
      </w:r>
      <w:proofErr w:type="gramStart"/>
      <w:r w:rsidR="005F2429" w:rsidRPr="00B25493">
        <w:rPr>
          <w:rFonts w:ascii="Arial" w:hAnsi="Arial" w:cs="Arial"/>
          <w:b w:val="0"/>
          <w:szCs w:val="24"/>
          <w:lang w:val="en-AU"/>
        </w:rPr>
        <w:t>works;</w:t>
      </w:r>
      <w:proofErr w:type="gramEnd"/>
      <w:r w:rsidR="005F2429" w:rsidRPr="00B25493">
        <w:rPr>
          <w:rFonts w:ascii="Arial" w:hAnsi="Arial" w:cs="Arial"/>
          <w:b w:val="0"/>
          <w:szCs w:val="24"/>
          <w:lang w:val="en-AU"/>
        </w:rPr>
        <w:t xml:space="preserve"> </w:t>
      </w:r>
    </w:p>
    <w:p w14:paraId="356138C7" w14:textId="292FC121"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D</w:t>
      </w:r>
      <w:r w:rsidR="005F2429" w:rsidRPr="00B25493">
        <w:rPr>
          <w:rFonts w:ascii="Arial" w:hAnsi="Arial" w:cs="Arial"/>
          <w:b w:val="0"/>
          <w:szCs w:val="24"/>
          <w:lang w:val="en-AU"/>
        </w:rPr>
        <w:t xml:space="preserve">etails of the financing provisions to be accommodated by Council </w:t>
      </w:r>
      <w:proofErr w:type="gramStart"/>
      <w:r w:rsidR="005F2429" w:rsidRPr="00B25493">
        <w:rPr>
          <w:rFonts w:ascii="Arial" w:hAnsi="Arial" w:cs="Arial"/>
          <w:b w:val="0"/>
          <w:szCs w:val="24"/>
          <w:lang w:val="en-AU"/>
        </w:rPr>
        <w:t>in regard to</w:t>
      </w:r>
      <w:proofErr w:type="gramEnd"/>
      <w:r w:rsidR="005F2429" w:rsidRPr="00B25493">
        <w:rPr>
          <w:rFonts w:ascii="Arial" w:hAnsi="Arial" w:cs="Arial"/>
          <w:b w:val="0"/>
          <w:szCs w:val="24"/>
          <w:lang w:val="en-AU"/>
        </w:rPr>
        <w:t xml:space="preserve"> the scheme; and </w:t>
      </w:r>
    </w:p>
    <w:p w14:paraId="38EF795D" w14:textId="2BC97E4D"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A</w:t>
      </w:r>
      <w:r w:rsidR="005F2429" w:rsidRPr="00B25493">
        <w:rPr>
          <w:rFonts w:ascii="Arial" w:hAnsi="Arial" w:cs="Arial"/>
          <w:b w:val="0"/>
          <w:szCs w:val="24"/>
          <w:lang w:val="en-AU"/>
        </w:rPr>
        <w:t xml:space="preserve">ny other requirements specified in the Act. </w:t>
      </w:r>
    </w:p>
    <w:p w14:paraId="706AC745" w14:textId="77777777" w:rsidR="00EB0E20" w:rsidRDefault="00EB0E20" w:rsidP="00EB0E20">
      <w:pPr>
        <w:pStyle w:val="Default"/>
      </w:pPr>
    </w:p>
    <w:p w14:paraId="795152C3" w14:textId="77777777" w:rsidR="00EB0E20" w:rsidRPr="005D6F33" w:rsidRDefault="005F2429" w:rsidP="005D6F33">
      <w:pPr>
        <w:pStyle w:val="heading5"/>
        <w:numPr>
          <w:ilvl w:val="0"/>
          <w:numId w:val="9"/>
        </w:numPr>
        <w:jc w:val="both"/>
        <w:rPr>
          <w:rFonts w:ascii="Arial" w:hAnsi="Arial" w:cs="Arial"/>
          <w:bCs/>
          <w:iCs/>
          <w:szCs w:val="24"/>
        </w:rPr>
      </w:pPr>
      <w:r w:rsidRPr="005D6F33">
        <w:rPr>
          <w:rFonts w:ascii="Arial" w:hAnsi="Arial" w:cs="Arial"/>
          <w:bCs/>
          <w:iCs/>
          <w:szCs w:val="24"/>
        </w:rPr>
        <w:t xml:space="preserve">Notice of Levy of Special Charge </w:t>
      </w:r>
    </w:p>
    <w:p w14:paraId="474DEF6A" w14:textId="195F49EA" w:rsidR="00EB0E20" w:rsidRDefault="005F2429" w:rsidP="00EB0E20">
      <w:pPr>
        <w:pStyle w:val="Default"/>
      </w:pPr>
      <w:r>
        <w:t>If Council decides to declare the Special Charge, it must the</w:t>
      </w:r>
      <w:r w:rsidR="00B25493">
        <w:t>n</w:t>
      </w:r>
      <w:r>
        <w:t xml:space="preserve"> send a Notice of Levy to those persons who are required to pay the Special Charge in accordance with Section 163(4) of the Act. This Notice must comply with the requirements of Section 163(5) of the Act and the Local Government (General) Regulations 2004.</w:t>
      </w:r>
    </w:p>
    <w:p w14:paraId="0F389975" w14:textId="77777777" w:rsidR="00EB0E20" w:rsidRDefault="00EB0E20" w:rsidP="00EB0E20">
      <w:pPr>
        <w:pStyle w:val="Default"/>
      </w:pPr>
    </w:p>
    <w:p w14:paraId="145281C9" w14:textId="77777777" w:rsidR="00EB0E20" w:rsidRPr="00B25493" w:rsidRDefault="005F2429" w:rsidP="005D6F33">
      <w:pPr>
        <w:pStyle w:val="heading5"/>
        <w:numPr>
          <w:ilvl w:val="0"/>
          <w:numId w:val="9"/>
        </w:numPr>
        <w:jc w:val="both"/>
        <w:rPr>
          <w:rFonts w:ascii="Arial" w:hAnsi="Arial" w:cs="Arial"/>
          <w:bCs/>
          <w:iCs/>
          <w:szCs w:val="24"/>
        </w:rPr>
      </w:pPr>
      <w:r w:rsidRPr="00B25493">
        <w:rPr>
          <w:rFonts w:ascii="Arial" w:hAnsi="Arial" w:cs="Arial"/>
          <w:bCs/>
          <w:iCs/>
          <w:szCs w:val="24"/>
        </w:rPr>
        <w:t xml:space="preserve">Decision Review </w:t>
      </w:r>
    </w:p>
    <w:p w14:paraId="75AFC0D6" w14:textId="77777777" w:rsidR="00EB0E20" w:rsidRDefault="005F2429" w:rsidP="00EB0E20">
      <w:pPr>
        <w:pStyle w:val="Default"/>
      </w:pPr>
      <w:r>
        <w:t xml:space="preserve">A person may apply to the Victorian Civil and Administrative Tribunal (VCAT) for review of a Council decision to impose a Special Charge on that person within 30 days after the date of issue of the Notice of Levy on that person. </w:t>
      </w:r>
    </w:p>
    <w:p w14:paraId="631997C9" w14:textId="77777777" w:rsidR="00EB0E20" w:rsidRDefault="00EB0E20" w:rsidP="00EB0E20">
      <w:pPr>
        <w:pStyle w:val="Default"/>
      </w:pPr>
    </w:p>
    <w:p w14:paraId="37B94A42" w14:textId="77777777" w:rsidR="00EB0E20" w:rsidRDefault="005F2429" w:rsidP="00EB0E20">
      <w:pPr>
        <w:pStyle w:val="Default"/>
      </w:pPr>
      <w:r>
        <w:t xml:space="preserve">Section 185 of the Act sets out the grounds that a person may apply for the decision to be reviewed and the process of the Tribunal review. Section 185AA of the Act also permits a person to apply to VCAT for a declaration of invalidity. </w:t>
      </w:r>
    </w:p>
    <w:p w14:paraId="130498D6" w14:textId="77777777" w:rsidR="00EB0E20" w:rsidRDefault="00EB0E20" w:rsidP="00EB0E20">
      <w:pPr>
        <w:pStyle w:val="Default"/>
      </w:pPr>
    </w:p>
    <w:p w14:paraId="5B307617" w14:textId="74F40DAE" w:rsidR="00EB0E20" w:rsidRDefault="005F2429" w:rsidP="00EB0E20">
      <w:pPr>
        <w:pStyle w:val="Default"/>
      </w:pPr>
      <w:r>
        <w:t xml:space="preserve">Following notification from VCAT of any appeals lodged, contact may (in appropriate circumstances and </w:t>
      </w:r>
      <w:r w:rsidR="00B25493">
        <w:t>whether</w:t>
      </w:r>
      <w:r>
        <w:t xml:space="preserve"> by way of mediation and subject always to the requirements of the Victorian Civil and Administrative Tribunal Act 1998) be made with VCAT applicants in order to determine whether it is feasible or not to conduct negotiations prior to the hearing. Failing this, Council’s case is to be prepared for the VCAT hearing, and any required legal representation retained. Council may also choose to engage expert witnesses in appropriate circumstances. </w:t>
      </w:r>
    </w:p>
    <w:p w14:paraId="48C28BAF" w14:textId="77777777" w:rsidR="00EB0E20" w:rsidRDefault="00EB0E20" w:rsidP="00EB0E20">
      <w:pPr>
        <w:pStyle w:val="Default"/>
      </w:pPr>
    </w:p>
    <w:p w14:paraId="3D396A44" w14:textId="77777777" w:rsidR="00EB0E20" w:rsidRDefault="005F2429" w:rsidP="00EB0E20">
      <w:pPr>
        <w:pStyle w:val="Default"/>
      </w:pPr>
      <w:r>
        <w:t xml:space="preserve">Where VCAT dismisses a Special Charge Scheme application for review and confirms the Special Charge, a letter is to be sent to all relevant owners and occupiers advising of the decision. </w:t>
      </w:r>
    </w:p>
    <w:p w14:paraId="662226E5" w14:textId="77777777" w:rsidR="00EB0E20" w:rsidRDefault="00EB0E20" w:rsidP="00EB0E20">
      <w:pPr>
        <w:pStyle w:val="Default"/>
      </w:pPr>
    </w:p>
    <w:p w14:paraId="3F4A98BB" w14:textId="77777777" w:rsidR="00EB0E20" w:rsidRDefault="005F2429" w:rsidP="00EB0E20">
      <w:pPr>
        <w:pStyle w:val="Default"/>
      </w:pPr>
      <w:r>
        <w:t xml:space="preserve">Where VCAT upholds the application for review of the Special Charge and quashes the scheme, a report must be prepared to Council in which future options are considered. Where VCAT upholds the Special Charge Scheme but finds one or more of the applicants for review will not receive a special benefit or whose contributions should otherwise be reduced, a report must be prepared to Council in which it is decided how the resultant financial shortfall in the Special Charge Scheme costs will be addressed. </w:t>
      </w:r>
    </w:p>
    <w:p w14:paraId="3431EC43" w14:textId="77777777" w:rsidR="00EB0E20" w:rsidRDefault="00EB0E20" w:rsidP="00EB0E20">
      <w:pPr>
        <w:pStyle w:val="Default"/>
      </w:pPr>
    </w:p>
    <w:p w14:paraId="3434231B" w14:textId="77777777" w:rsidR="00EB0E20" w:rsidRPr="00B25493" w:rsidRDefault="005F2429" w:rsidP="005D6F33">
      <w:pPr>
        <w:pStyle w:val="heading5"/>
        <w:numPr>
          <w:ilvl w:val="0"/>
          <w:numId w:val="9"/>
        </w:numPr>
        <w:jc w:val="both"/>
        <w:rPr>
          <w:rFonts w:ascii="Arial" w:hAnsi="Arial" w:cs="Arial"/>
          <w:bCs/>
          <w:iCs/>
          <w:szCs w:val="24"/>
        </w:rPr>
      </w:pPr>
      <w:r w:rsidRPr="00B25493">
        <w:rPr>
          <w:rFonts w:ascii="Arial" w:hAnsi="Arial" w:cs="Arial"/>
          <w:bCs/>
          <w:iCs/>
          <w:szCs w:val="24"/>
        </w:rPr>
        <w:t xml:space="preserve">Implementation Process </w:t>
      </w:r>
    </w:p>
    <w:p w14:paraId="07E856AE" w14:textId="13B9C6FB" w:rsidR="00EB0E20" w:rsidRDefault="005F2429" w:rsidP="00EB0E20">
      <w:pPr>
        <w:pStyle w:val="Default"/>
      </w:pPr>
      <w:r>
        <w:t>The implementation of the construction works for the Special</w:t>
      </w:r>
      <w:r w:rsidR="005D6F33">
        <w:t xml:space="preserve"> Rate and Special </w:t>
      </w:r>
      <w:r>
        <w:t xml:space="preserve">Charge Scheme must proceed in accordance with </w:t>
      </w:r>
      <w:r w:rsidR="00B25493">
        <w:t xml:space="preserve">Council’s </w:t>
      </w:r>
      <w:r>
        <w:t xml:space="preserve">Procurement Policy, as adopted by Council from time to time, and subject to any further direction of Council. </w:t>
      </w:r>
    </w:p>
    <w:p w14:paraId="2373241E" w14:textId="77777777" w:rsidR="00EB0E20" w:rsidRDefault="00EB0E20" w:rsidP="00EB0E20">
      <w:pPr>
        <w:pStyle w:val="Default"/>
      </w:pPr>
    </w:p>
    <w:p w14:paraId="31B8D76D" w14:textId="2826E082" w:rsidR="00EB0E20" w:rsidRDefault="005F2429" w:rsidP="00EB0E20">
      <w:pPr>
        <w:pStyle w:val="Default"/>
      </w:pPr>
      <w:r>
        <w:t xml:space="preserve">If following completion of </w:t>
      </w:r>
      <w:r w:rsidR="00B25493">
        <w:t>works,</w:t>
      </w:r>
      <w:r>
        <w:t xml:space="preserve"> it is ascertained that – </w:t>
      </w:r>
    </w:p>
    <w:p w14:paraId="2EC96270" w14:textId="623ACA7A"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sidRPr="00B25493">
        <w:rPr>
          <w:rFonts w:ascii="Arial" w:hAnsi="Arial" w:cs="Arial"/>
          <w:b w:val="0"/>
          <w:szCs w:val="24"/>
          <w:lang w:val="en-AU"/>
        </w:rPr>
        <w:t>T</w:t>
      </w:r>
      <w:r w:rsidR="005F2429" w:rsidRPr="00B25493">
        <w:rPr>
          <w:rFonts w:ascii="Arial" w:hAnsi="Arial" w:cs="Arial"/>
          <w:b w:val="0"/>
          <w:szCs w:val="24"/>
          <w:lang w:val="en-AU"/>
        </w:rPr>
        <w:t xml:space="preserve">he actual costs are less than the estimated costs, a reduction which is proportionate to the contributions that will be received by Council must be made to the current owners of the land included in the scheme; and </w:t>
      </w:r>
    </w:p>
    <w:p w14:paraId="07372B15" w14:textId="6C9E36C5"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lastRenderedPageBreak/>
        <w:t>T</w:t>
      </w:r>
      <w:r w:rsidR="005F2429" w:rsidRPr="00B25493">
        <w:rPr>
          <w:rFonts w:ascii="Arial" w:hAnsi="Arial" w:cs="Arial"/>
          <w:b w:val="0"/>
          <w:szCs w:val="24"/>
          <w:lang w:val="en-AU"/>
        </w:rPr>
        <w:t xml:space="preserve">he actual costs are more than the estimated costs, then – </w:t>
      </w:r>
    </w:p>
    <w:p w14:paraId="3C6EBDE9" w14:textId="77777777" w:rsidR="00EB0E20" w:rsidRPr="00B25493" w:rsidRDefault="005F2429" w:rsidP="003F12B6">
      <w:pPr>
        <w:pStyle w:val="heading5"/>
        <w:numPr>
          <w:ilvl w:val="1"/>
          <w:numId w:val="6"/>
        </w:numPr>
        <w:tabs>
          <w:tab w:val="left" w:pos="2805"/>
        </w:tabs>
        <w:jc w:val="both"/>
        <w:rPr>
          <w:rFonts w:ascii="Arial" w:hAnsi="Arial" w:cs="Arial"/>
          <w:b w:val="0"/>
          <w:szCs w:val="24"/>
          <w:lang w:val="en-AU"/>
        </w:rPr>
      </w:pPr>
      <w:r w:rsidRPr="00B25493">
        <w:rPr>
          <w:rFonts w:ascii="Arial" w:hAnsi="Arial" w:cs="Arial"/>
          <w:b w:val="0"/>
          <w:szCs w:val="24"/>
          <w:lang w:val="en-AU"/>
        </w:rPr>
        <w:t>if the difference is not a material variation, the additional actual costs may in accordance with Section 166(1)(b)(</w:t>
      </w:r>
      <w:proofErr w:type="spellStart"/>
      <w:r w:rsidRPr="00B25493">
        <w:rPr>
          <w:rFonts w:ascii="Arial" w:hAnsi="Arial" w:cs="Arial"/>
          <w:b w:val="0"/>
          <w:szCs w:val="24"/>
          <w:lang w:val="en-AU"/>
        </w:rPr>
        <w:t>i</w:t>
      </w:r>
      <w:proofErr w:type="spellEnd"/>
      <w:r w:rsidRPr="00B25493">
        <w:rPr>
          <w:rFonts w:ascii="Arial" w:hAnsi="Arial" w:cs="Arial"/>
          <w:b w:val="0"/>
          <w:szCs w:val="24"/>
          <w:lang w:val="en-AU"/>
        </w:rPr>
        <w:t xml:space="preserve">) of the Act be apportioned amongst the persons who are liable to pay the Special Charge rateably in the same proportions in which the estimated amounts were apportioned or the Council, if it so decides, may pay for the difference between the actual and the estimated costs; and </w:t>
      </w:r>
    </w:p>
    <w:p w14:paraId="489D1046" w14:textId="77777777" w:rsidR="00EB0E20" w:rsidRPr="00B25493" w:rsidRDefault="005F2429" w:rsidP="003F12B6">
      <w:pPr>
        <w:pStyle w:val="heading5"/>
        <w:numPr>
          <w:ilvl w:val="1"/>
          <w:numId w:val="6"/>
        </w:numPr>
        <w:tabs>
          <w:tab w:val="left" w:pos="2805"/>
        </w:tabs>
        <w:jc w:val="both"/>
        <w:rPr>
          <w:rFonts w:ascii="Arial" w:hAnsi="Arial" w:cs="Arial"/>
          <w:b w:val="0"/>
          <w:szCs w:val="24"/>
          <w:lang w:val="en-AU"/>
        </w:rPr>
      </w:pPr>
      <w:r w:rsidRPr="00B25493">
        <w:rPr>
          <w:rFonts w:ascii="Arial" w:hAnsi="Arial" w:cs="Arial"/>
          <w:b w:val="0"/>
          <w:szCs w:val="24"/>
          <w:lang w:val="en-AU"/>
        </w:rPr>
        <w:t xml:space="preserve">if the difference is a material variation, the Council must exercise its power under Section 166(3)(b) of the Act, or itself pay for the difference between the actual and the estimated costs. </w:t>
      </w:r>
    </w:p>
    <w:p w14:paraId="5021E4CF" w14:textId="77777777" w:rsidR="00EB0E20" w:rsidRDefault="00EB0E20" w:rsidP="00EB0E20">
      <w:pPr>
        <w:pStyle w:val="Default"/>
      </w:pPr>
    </w:p>
    <w:p w14:paraId="10FAD999" w14:textId="77777777" w:rsidR="00EB0E20" w:rsidRPr="00B25493" w:rsidRDefault="005F2429" w:rsidP="005D6F33">
      <w:pPr>
        <w:pStyle w:val="heading5"/>
        <w:numPr>
          <w:ilvl w:val="0"/>
          <w:numId w:val="9"/>
        </w:numPr>
        <w:jc w:val="both"/>
        <w:rPr>
          <w:rFonts w:ascii="Arial" w:hAnsi="Arial" w:cs="Arial"/>
          <w:bCs/>
          <w:iCs/>
          <w:szCs w:val="24"/>
        </w:rPr>
      </w:pPr>
      <w:r w:rsidRPr="00B25493">
        <w:rPr>
          <w:rFonts w:ascii="Arial" w:hAnsi="Arial" w:cs="Arial"/>
          <w:bCs/>
          <w:iCs/>
          <w:szCs w:val="24"/>
        </w:rPr>
        <w:t xml:space="preserve">Final Reconciliation and Report to Council </w:t>
      </w:r>
    </w:p>
    <w:p w14:paraId="5ED2734F" w14:textId="77777777" w:rsidR="00EB0E20" w:rsidRDefault="005F2429" w:rsidP="00EB0E20">
      <w:pPr>
        <w:pStyle w:val="Default"/>
      </w:pPr>
      <w:r>
        <w:t>A final report is to be prepared for Council immediately upon scheme reconciliation advising:</w:t>
      </w:r>
    </w:p>
    <w:p w14:paraId="36FDF968" w14:textId="1A193BB8"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T</w:t>
      </w:r>
      <w:r w:rsidR="005F2429" w:rsidRPr="00B25493">
        <w:rPr>
          <w:rFonts w:ascii="Arial" w:hAnsi="Arial" w:cs="Arial"/>
          <w:b w:val="0"/>
          <w:szCs w:val="24"/>
          <w:lang w:val="en-AU"/>
        </w:rPr>
        <w:t xml:space="preserve">hat the works are </w:t>
      </w:r>
      <w:r w:rsidRPr="00B25493">
        <w:rPr>
          <w:rFonts w:ascii="Arial" w:hAnsi="Arial" w:cs="Arial"/>
          <w:b w:val="0"/>
          <w:szCs w:val="24"/>
          <w:lang w:val="en-AU"/>
        </w:rPr>
        <w:t>complete,</w:t>
      </w:r>
      <w:r w:rsidR="005F2429" w:rsidRPr="00B25493">
        <w:rPr>
          <w:rFonts w:ascii="Arial" w:hAnsi="Arial" w:cs="Arial"/>
          <w:b w:val="0"/>
          <w:szCs w:val="24"/>
          <w:lang w:val="en-AU"/>
        </w:rPr>
        <w:t xml:space="preserve"> and the costs are </w:t>
      </w:r>
      <w:proofErr w:type="gramStart"/>
      <w:r w:rsidR="005F2429" w:rsidRPr="00B25493">
        <w:rPr>
          <w:rFonts w:ascii="Arial" w:hAnsi="Arial" w:cs="Arial"/>
          <w:b w:val="0"/>
          <w:szCs w:val="24"/>
          <w:lang w:val="en-AU"/>
        </w:rPr>
        <w:t>finalised;</w:t>
      </w:r>
      <w:proofErr w:type="gramEnd"/>
      <w:r w:rsidR="005F2429" w:rsidRPr="00B25493">
        <w:rPr>
          <w:rFonts w:ascii="Arial" w:hAnsi="Arial" w:cs="Arial"/>
          <w:b w:val="0"/>
          <w:szCs w:val="24"/>
          <w:lang w:val="en-AU"/>
        </w:rPr>
        <w:t xml:space="preserve"> </w:t>
      </w:r>
    </w:p>
    <w:p w14:paraId="1FDA9456" w14:textId="10754A91"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Th</w:t>
      </w:r>
      <w:r w:rsidR="005F2429" w:rsidRPr="00B25493">
        <w:rPr>
          <w:rFonts w:ascii="Arial" w:hAnsi="Arial" w:cs="Arial"/>
          <w:b w:val="0"/>
          <w:szCs w:val="24"/>
          <w:lang w:val="en-AU"/>
        </w:rPr>
        <w:t xml:space="preserve">at the final apportioned costs are presented for adoption by Council; and </w:t>
      </w:r>
    </w:p>
    <w:p w14:paraId="58C103AA" w14:textId="1A9BCD00" w:rsidR="00EB0E20" w:rsidRPr="00B25493" w:rsidRDefault="00B25493" w:rsidP="003F12B6">
      <w:pPr>
        <w:pStyle w:val="heading5"/>
        <w:numPr>
          <w:ilvl w:val="0"/>
          <w:numId w:val="6"/>
        </w:numPr>
        <w:tabs>
          <w:tab w:val="left" w:pos="2805"/>
        </w:tabs>
        <w:ind w:left="284" w:hanging="284"/>
        <w:jc w:val="both"/>
        <w:rPr>
          <w:rFonts w:ascii="Arial" w:hAnsi="Arial" w:cs="Arial"/>
          <w:b w:val="0"/>
          <w:szCs w:val="24"/>
          <w:lang w:val="en-AU"/>
        </w:rPr>
      </w:pPr>
      <w:r>
        <w:rPr>
          <w:rFonts w:ascii="Arial" w:hAnsi="Arial" w:cs="Arial"/>
          <w:b w:val="0"/>
          <w:szCs w:val="24"/>
          <w:lang w:val="en-AU"/>
        </w:rPr>
        <w:t>T</w:t>
      </w:r>
      <w:r w:rsidR="005F2429" w:rsidRPr="00B25493">
        <w:rPr>
          <w:rFonts w:ascii="Arial" w:hAnsi="Arial" w:cs="Arial"/>
          <w:b w:val="0"/>
          <w:szCs w:val="24"/>
          <w:lang w:val="en-AU"/>
        </w:rPr>
        <w:t xml:space="preserve">he details of any variation between the original estimate and the final apportioned cost. </w:t>
      </w:r>
    </w:p>
    <w:p w14:paraId="14FA77D2" w14:textId="77777777" w:rsidR="00EB0E20" w:rsidRDefault="00EB0E20" w:rsidP="00EB0E20">
      <w:pPr>
        <w:pStyle w:val="Default"/>
      </w:pPr>
    </w:p>
    <w:p w14:paraId="508EACA5" w14:textId="072797E2" w:rsidR="005F2429" w:rsidRDefault="005F2429" w:rsidP="00EB0E20">
      <w:pPr>
        <w:pStyle w:val="Default"/>
      </w:pPr>
      <w:r>
        <w:t>Subject to clause 22 and clause 23, following the calculation of final costings in relation to the Special Charge Scheme based on the actual cost of the works, a Final Notice of Special Charge Liability must be served on all contributors, indicating all the relevant scheme details and costs and the amount for which each contributor is finally liable.</w:t>
      </w:r>
    </w:p>
    <w:p w14:paraId="375C24C9" w14:textId="64FC0A3C" w:rsidR="005F2429" w:rsidRDefault="005F2429" w:rsidP="00725934">
      <w:pPr>
        <w:pStyle w:val="Default"/>
      </w:pPr>
    </w:p>
    <w:p w14:paraId="1AE56334" w14:textId="4CBD2981" w:rsidR="002C0404" w:rsidRPr="00B25493" w:rsidRDefault="00CF3257" w:rsidP="005D6F33">
      <w:pPr>
        <w:pStyle w:val="heading5"/>
        <w:numPr>
          <w:ilvl w:val="0"/>
          <w:numId w:val="9"/>
        </w:numPr>
        <w:jc w:val="both"/>
        <w:rPr>
          <w:rFonts w:ascii="Arial" w:hAnsi="Arial" w:cs="Arial"/>
          <w:bCs/>
          <w:iCs/>
          <w:szCs w:val="24"/>
        </w:rPr>
      </w:pPr>
      <w:r>
        <w:rPr>
          <w:rFonts w:ascii="Arial" w:hAnsi="Arial" w:cs="Arial"/>
          <w:bCs/>
          <w:iCs/>
          <w:szCs w:val="24"/>
        </w:rPr>
        <w:t>Financial Hardship</w:t>
      </w:r>
    </w:p>
    <w:p w14:paraId="0E3C0B80" w14:textId="39776FE7" w:rsidR="005F2429" w:rsidRDefault="002C0404" w:rsidP="005F2429">
      <w:pPr>
        <w:spacing w:after="120"/>
      </w:pPr>
      <w:r w:rsidRPr="00B25493">
        <w:rPr>
          <w:rFonts w:cs="Arial"/>
          <w:color w:val="000000"/>
          <w:lang w:eastAsia="en-AU"/>
        </w:rPr>
        <w:t xml:space="preserve">Council shall as far as </w:t>
      </w:r>
      <w:proofErr w:type="gramStart"/>
      <w:r w:rsidRPr="00B25493">
        <w:rPr>
          <w:rFonts w:cs="Arial"/>
          <w:color w:val="000000"/>
          <w:lang w:eastAsia="en-AU"/>
        </w:rPr>
        <w:t>practicable</w:t>
      </w:r>
      <w:proofErr w:type="gramEnd"/>
      <w:r w:rsidRPr="00B25493">
        <w:rPr>
          <w:rFonts w:cs="Arial"/>
          <w:color w:val="000000"/>
          <w:lang w:eastAsia="en-AU"/>
        </w:rPr>
        <w:t xml:space="preserve"> provide opportunity for members of the community facing personal or family circumstances that warrant special consideration to meet their obligations as property owners without prejudicing continued occupation of their principal place of residence.</w:t>
      </w:r>
      <w:r w:rsidR="005F2429">
        <w:rPr>
          <w:rFonts w:cs="Arial"/>
        </w:rPr>
        <w:t xml:space="preserve"> Refer to </w:t>
      </w:r>
      <w:hyperlink r:id="rId14" w:history="1">
        <w:r w:rsidR="005F2429" w:rsidRPr="005F2429">
          <w:rPr>
            <w:rStyle w:val="Hyperlink"/>
          </w:rPr>
          <w:t xml:space="preserve">Financial Hardship Policy </w:t>
        </w:r>
      </w:hyperlink>
      <w:r w:rsidR="005F2429">
        <w:t xml:space="preserve"> </w:t>
      </w:r>
    </w:p>
    <w:p w14:paraId="360CCEE1" w14:textId="77777777" w:rsidR="00700BA3" w:rsidRPr="00700BA3" w:rsidRDefault="00700BA3" w:rsidP="005F2429">
      <w:pPr>
        <w:spacing w:after="120"/>
        <w:rPr>
          <w:rFonts w:cs="Arial"/>
          <w:b/>
          <w:bCs/>
        </w:rPr>
      </w:pPr>
    </w:p>
    <w:p w14:paraId="1D0DC611" w14:textId="77777777" w:rsidR="00700BA3" w:rsidRPr="005D6F33" w:rsidRDefault="00700BA3" w:rsidP="005D6F33">
      <w:pPr>
        <w:pStyle w:val="heading5"/>
        <w:numPr>
          <w:ilvl w:val="0"/>
          <w:numId w:val="9"/>
        </w:numPr>
        <w:jc w:val="both"/>
        <w:rPr>
          <w:rFonts w:ascii="Arial" w:hAnsi="Arial" w:cs="Arial"/>
          <w:bCs/>
          <w:iCs/>
          <w:szCs w:val="24"/>
        </w:rPr>
      </w:pPr>
      <w:r w:rsidRPr="00700BA3">
        <w:rPr>
          <w:rFonts w:ascii="Arial" w:hAnsi="Arial" w:cs="Arial"/>
          <w:bCs/>
          <w:iCs/>
          <w:szCs w:val="24"/>
        </w:rPr>
        <w:t xml:space="preserve"> Monitoring and reporting</w:t>
      </w:r>
      <w:bookmarkStart w:id="6" w:name="_Hlk95291760"/>
    </w:p>
    <w:p w14:paraId="773103E1" w14:textId="6A877692" w:rsidR="00700BA3" w:rsidRPr="00700BA3" w:rsidRDefault="00700BA3" w:rsidP="00700BA3">
      <w:pPr>
        <w:pStyle w:val="heading5"/>
        <w:jc w:val="both"/>
        <w:rPr>
          <w:rFonts w:ascii="Arial" w:hAnsi="Arial" w:cs="Arial"/>
          <w:b w:val="0"/>
          <w:bCs/>
        </w:rPr>
      </w:pPr>
    </w:p>
    <w:p w14:paraId="3463280B" w14:textId="1FA42520" w:rsidR="00700BA3" w:rsidRPr="00700BA3" w:rsidRDefault="00700BA3" w:rsidP="005D6F33">
      <w:pPr>
        <w:pStyle w:val="heading5"/>
        <w:numPr>
          <w:ilvl w:val="1"/>
          <w:numId w:val="10"/>
        </w:numPr>
        <w:tabs>
          <w:tab w:val="clear" w:pos="1440"/>
        </w:tabs>
        <w:jc w:val="both"/>
        <w:rPr>
          <w:rFonts w:ascii="Arial" w:hAnsi="Arial" w:cs="Arial"/>
          <w:b w:val="0"/>
          <w:bCs/>
          <w:szCs w:val="24"/>
        </w:rPr>
      </w:pPr>
      <w:r w:rsidRPr="00700BA3">
        <w:rPr>
          <w:rFonts w:ascii="Arial" w:hAnsi="Arial" w:cs="Arial"/>
          <w:b w:val="0"/>
          <w:bCs/>
          <w:szCs w:val="24"/>
        </w:rPr>
        <w:t xml:space="preserve">Council will ensure accountability by reporting annually on the SRSC projects identified within Councils Four Year Capital Works Plan. </w:t>
      </w:r>
    </w:p>
    <w:bookmarkEnd w:id="6"/>
    <w:p w14:paraId="0D84410A" w14:textId="33EAA0B3" w:rsidR="00700BA3" w:rsidRPr="00700BA3" w:rsidRDefault="00700BA3" w:rsidP="005D6F33">
      <w:pPr>
        <w:pStyle w:val="heading5"/>
        <w:numPr>
          <w:ilvl w:val="1"/>
          <w:numId w:val="10"/>
        </w:numPr>
        <w:tabs>
          <w:tab w:val="clear" w:pos="1440"/>
        </w:tabs>
        <w:jc w:val="both"/>
        <w:rPr>
          <w:rFonts w:ascii="Arial" w:hAnsi="Arial" w:cs="Arial"/>
          <w:b w:val="0"/>
          <w:bCs/>
          <w:szCs w:val="24"/>
        </w:rPr>
      </w:pPr>
      <w:r w:rsidRPr="00700BA3">
        <w:rPr>
          <w:rFonts w:ascii="Arial" w:hAnsi="Arial" w:cs="Arial"/>
          <w:b w:val="0"/>
          <w:bCs/>
          <w:szCs w:val="24"/>
        </w:rPr>
        <w:t xml:space="preserve">This Policy will be reviewed every four years and/or prior to each four-year capital plan, to ensure it remains effective. </w:t>
      </w:r>
    </w:p>
    <w:p w14:paraId="25BFD940" w14:textId="77777777" w:rsidR="00700BA3" w:rsidRPr="00B5059F" w:rsidRDefault="00700BA3" w:rsidP="00700BA3">
      <w:pPr>
        <w:ind w:left="709" w:right="-1" w:hanging="709"/>
        <w:jc w:val="both"/>
        <w:rPr>
          <w:rFonts w:cs="Arial"/>
          <w:lang w:eastAsia="en-AU"/>
        </w:rPr>
      </w:pPr>
    </w:p>
    <w:p w14:paraId="7FF05A11" w14:textId="77777777" w:rsidR="00700BA3" w:rsidRDefault="00700BA3" w:rsidP="005D6F33">
      <w:pPr>
        <w:pStyle w:val="heading5"/>
        <w:numPr>
          <w:ilvl w:val="0"/>
          <w:numId w:val="9"/>
        </w:numPr>
        <w:jc w:val="both"/>
        <w:rPr>
          <w:rFonts w:ascii="Arial" w:hAnsi="Arial" w:cs="Arial"/>
          <w:bCs/>
          <w:iCs/>
          <w:szCs w:val="24"/>
        </w:rPr>
      </w:pPr>
      <w:r w:rsidRPr="00700BA3">
        <w:rPr>
          <w:rFonts w:ascii="Arial" w:hAnsi="Arial" w:cs="Arial"/>
          <w:bCs/>
          <w:iCs/>
          <w:szCs w:val="24"/>
        </w:rPr>
        <w:t xml:space="preserve">Roles and responsibilities </w:t>
      </w:r>
      <w:bookmarkStart w:id="7" w:name="_Hlk97196761"/>
    </w:p>
    <w:p w14:paraId="72BAF613" w14:textId="77777777" w:rsidR="00700BA3" w:rsidRPr="00700BA3" w:rsidRDefault="00700BA3" w:rsidP="00700BA3">
      <w:pPr>
        <w:pStyle w:val="heading5"/>
        <w:ind w:left="709"/>
        <w:jc w:val="both"/>
        <w:rPr>
          <w:rFonts w:ascii="Arial" w:hAnsi="Arial" w:cs="Arial"/>
          <w:bCs/>
          <w:iCs/>
          <w:szCs w:val="24"/>
        </w:rPr>
      </w:pPr>
    </w:p>
    <w:p w14:paraId="3C8DD141" w14:textId="5E9C8B85" w:rsidR="00700BA3" w:rsidRDefault="00700BA3" w:rsidP="005D6F33">
      <w:pPr>
        <w:pStyle w:val="heading5"/>
        <w:numPr>
          <w:ilvl w:val="1"/>
          <w:numId w:val="11"/>
        </w:numPr>
        <w:jc w:val="both"/>
        <w:rPr>
          <w:rFonts w:ascii="Arial" w:hAnsi="Arial" w:cs="Arial"/>
          <w:b w:val="0"/>
          <w:bCs/>
          <w:szCs w:val="24"/>
        </w:rPr>
      </w:pPr>
      <w:r w:rsidRPr="00700BA3">
        <w:rPr>
          <w:rFonts w:ascii="Arial" w:hAnsi="Arial" w:cs="Arial"/>
          <w:b w:val="0"/>
          <w:bCs/>
          <w:szCs w:val="24"/>
        </w:rPr>
        <w:t xml:space="preserve">Director Environment, Recreation and Infrastructure has accountability to give effect to this policy by consideration of SRSC projects being included within </w:t>
      </w:r>
      <w:bookmarkEnd w:id="7"/>
      <w:r w:rsidRPr="00700BA3">
        <w:rPr>
          <w:rFonts w:ascii="Arial" w:hAnsi="Arial" w:cs="Arial"/>
          <w:b w:val="0"/>
          <w:bCs/>
          <w:szCs w:val="24"/>
        </w:rPr>
        <w:t xml:space="preserve">the Four Hear Capital Works Plans. </w:t>
      </w:r>
    </w:p>
    <w:p w14:paraId="27A181C2" w14:textId="4A1068B2" w:rsidR="00700BA3" w:rsidRPr="00700BA3" w:rsidRDefault="00700BA3" w:rsidP="005D6F33">
      <w:pPr>
        <w:pStyle w:val="heading5"/>
        <w:numPr>
          <w:ilvl w:val="1"/>
          <w:numId w:val="11"/>
        </w:numPr>
        <w:tabs>
          <w:tab w:val="clear" w:pos="1440"/>
        </w:tabs>
        <w:jc w:val="both"/>
        <w:rPr>
          <w:rFonts w:ascii="Arial" w:hAnsi="Arial" w:cs="Arial"/>
          <w:b w:val="0"/>
          <w:bCs/>
          <w:szCs w:val="24"/>
        </w:rPr>
      </w:pPr>
      <w:r w:rsidRPr="00700BA3">
        <w:rPr>
          <w:rFonts w:ascii="Arial" w:hAnsi="Arial" w:cs="Arial"/>
          <w:b w:val="0"/>
          <w:bCs/>
          <w:szCs w:val="24"/>
        </w:rPr>
        <w:t xml:space="preserve">Depending on the nature of projects brought to the attention of Council, the appropriate Manager is responsible for the deployment of the policy in the delivery of </w:t>
      </w:r>
      <w:r>
        <w:rPr>
          <w:rFonts w:ascii="Arial" w:hAnsi="Arial" w:cs="Arial"/>
          <w:b w:val="0"/>
          <w:bCs/>
          <w:szCs w:val="24"/>
        </w:rPr>
        <w:t xml:space="preserve">required </w:t>
      </w:r>
      <w:r w:rsidRPr="00700BA3">
        <w:rPr>
          <w:rFonts w:ascii="Arial" w:hAnsi="Arial" w:cs="Arial"/>
          <w:b w:val="0"/>
          <w:bCs/>
          <w:szCs w:val="24"/>
        </w:rPr>
        <w:t xml:space="preserve">project. </w:t>
      </w:r>
    </w:p>
    <w:p w14:paraId="7F8078C9" w14:textId="77777777" w:rsidR="00700BA3" w:rsidRPr="005D6F33" w:rsidRDefault="00700BA3" w:rsidP="005D6F33">
      <w:pPr>
        <w:pStyle w:val="heading5"/>
        <w:ind w:left="720"/>
        <w:jc w:val="both"/>
        <w:rPr>
          <w:rFonts w:ascii="Arial" w:hAnsi="Arial" w:cs="Arial"/>
          <w:bCs/>
          <w:iCs/>
          <w:szCs w:val="24"/>
        </w:rPr>
      </w:pPr>
    </w:p>
    <w:p w14:paraId="6DA022A1" w14:textId="3A37A40E" w:rsidR="0047040B" w:rsidRPr="00C638B7" w:rsidRDefault="005F2429" w:rsidP="005D6F33">
      <w:pPr>
        <w:pStyle w:val="heading5"/>
        <w:numPr>
          <w:ilvl w:val="0"/>
          <w:numId w:val="9"/>
        </w:numPr>
        <w:jc w:val="both"/>
        <w:rPr>
          <w:rFonts w:ascii="Arial" w:hAnsi="Arial" w:cs="Arial"/>
          <w:bCs/>
          <w:iCs/>
          <w:szCs w:val="24"/>
        </w:rPr>
      </w:pPr>
      <w:r>
        <w:rPr>
          <w:rFonts w:ascii="Arial" w:hAnsi="Arial" w:cs="Arial"/>
          <w:bCs/>
          <w:iCs/>
          <w:szCs w:val="24"/>
        </w:rPr>
        <w:t xml:space="preserve">Associated Council </w:t>
      </w:r>
      <w:r w:rsidR="0047040B" w:rsidRPr="00C638B7">
        <w:rPr>
          <w:rFonts w:ascii="Arial" w:hAnsi="Arial" w:cs="Arial"/>
          <w:bCs/>
          <w:iCs/>
          <w:szCs w:val="24"/>
        </w:rPr>
        <w:t>documents</w:t>
      </w:r>
      <w:r w:rsidR="00F534A6">
        <w:rPr>
          <w:rFonts w:ascii="Arial" w:hAnsi="Arial" w:cs="Arial"/>
          <w:bCs/>
          <w:iCs/>
          <w:szCs w:val="24"/>
        </w:rPr>
        <w:t xml:space="preserve"> and External References</w:t>
      </w:r>
    </w:p>
    <w:p w14:paraId="22DCD9C6" w14:textId="77777777" w:rsidR="0047040B" w:rsidRPr="00C638B7" w:rsidRDefault="0047040B">
      <w:pPr>
        <w:pStyle w:val="NormalWeb"/>
        <w:spacing w:before="0" w:beforeAutospacing="0" w:after="0" w:afterAutospacing="0"/>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6997"/>
      </w:tblGrid>
      <w:tr w:rsidR="00DE2C08" w:rsidRPr="00C638B7" w14:paraId="573584F5" w14:textId="77777777" w:rsidTr="008E5EFC">
        <w:tc>
          <w:tcPr>
            <w:tcW w:w="2805" w:type="dxa"/>
          </w:tcPr>
          <w:p w14:paraId="0D9B41D2" w14:textId="77777777" w:rsidR="00DE2C08" w:rsidRPr="00C638B7" w:rsidRDefault="00DE2C08">
            <w:pPr>
              <w:pStyle w:val="Heading1"/>
              <w:spacing w:before="0"/>
              <w:rPr>
                <w:rFonts w:cs="Arial"/>
                <w:sz w:val="24"/>
                <w:szCs w:val="24"/>
              </w:rPr>
            </w:pPr>
            <w:r w:rsidRPr="00C638B7">
              <w:rPr>
                <w:rFonts w:cs="Arial"/>
                <w:sz w:val="24"/>
                <w:szCs w:val="24"/>
              </w:rPr>
              <w:lastRenderedPageBreak/>
              <w:t>Legislation</w:t>
            </w:r>
          </w:p>
        </w:tc>
        <w:tc>
          <w:tcPr>
            <w:tcW w:w="6997" w:type="dxa"/>
          </w:tcPr>
          <w:p w14:paraId="65B4D2AF" w14:textId="77777777" w:rsidR="00DE2C08" w:rsidRDefault="00AB5694">
            <w:pPr>
              <w:pStyle w:val="Heading1"/>
              <w:spacing w:before="0"/>
              <w:rPr>
                <w:rStyle w:val="Hyperlink"/>
                <w:rFonts w:cs="Arial"/>
                <w:b w:val="0"/>
                <w:bCs/>
                <w:sz w:val="24"/>
                <w:szCs w:val="24"/>
              </w:rPr>
            </w:pPr>
            <w:hyperlink r:id="rId15" w:history="1">
              <w:r w:rsidR="00EF5B3D" w:rsidRPr="00B12CE2">
                <w:rPr>
                  <w:rStyle w:val="Hyperlink"/>
                  <w:rFonts w:cs="Arial"/>
                  <w:b w:val="0"/>
                  <w:bCs/>
                  <w:sz w:val="24"/>
                  <w:szCs w:val="24"/>
                </w:rPr>
                <w:t xml:space="preserve">Local Government Act </w:t>
              </w:r>
              <w:r w:rsidR="00DB6DD5" w:rsidRPr="00B12CE2">
                <w:rPr>
                  <w:rStyle w:val="Hyperlink"/>
                  <w:rFonts w:cs="Arial"/>
                  <w:b w:val="0"/>
                  <w:bCs/>
                  <w:sz w:val="24"/>
                  <w:szCs w:val="24"/>
                </w:rPr>
                <w:t>1989 and amendments</w:t>
              </w:r>
            </w:hyperlink>
          </w:p>
          <w:p w14:paraId="650379E2" w14:textId="0A094435" w:rsidR="00CF3257" w:rsidRDefault="00AB5694" w:rsidP="00CF3257">
            <w:hyperlink r:id="rId16" w:history="1">
              <w:r w:rsidR="00CF3257" w:rsidRPr="00D7677B">
                <w:rPr>
                  <w:rStyle w:val="Hyperlink"/>
                </w:rPr>
                <w:t>Planning and Environment Act 1987</w:t>
              </w:r>
            </w:hyperlink>
          </w:p>
          <w:p w14:paraId="1838D44E" w14:textId="5EA23965" w:rsidR="00CF3257" w:rsidRPr="00CF3257" w:rsidRDefault="00AB5694" w:rsidP="00CF3257">
            <w:hyperlink r:id="rId17" w:history="1">
              <w:r w:rsidR="00CF3257" w:rsidRPr="00D7677B">
                <w:rPr>
                  <w:rStyle w:val="Hyperlink"/>
                </w:rPr>
                <w:t>Subdivision Act 1989</w:t>
              </w:r>
            </w:hyperlink>
          </w:p>
        </w:tc>
      </w:tr>
      <w:tr w:rsidR="0047040B" w:rsidRPr="00C638B7" w14:paraId="16B8A18B" w14:textId="77777777" w:rsidTr="008E5EFC">
        <w:tc>
          <w:tcPr>
            <w:tcW w:w="2805" w:type="dxa"/>
          </w:tcPr>
          <w:p w14:paraId="3B3A95ED" w14:textId="77777777" w:rsidR="0047040B" w:rsidRPr="00C638B7" w:rsidRDefault="0047040B">
            <w:pPr>
              <w:pStyle w:val="Heading1"/>
              <w:spacing w:before="0"/>
              <w:rPr>
                <w:rFonts w:cs="Arial"/>
                <w:sz w:val="24"/>
                <w:szCs w:val="24"/>
              </w:rPr>
            </w:pPr>
            <w:r w:rsidRPr="00C638B7">
              <w:rPr>
                <w:rFonts w:cs="Arial"/>
                <w:sz w:val="24"/>
                <w:szCs w:val="24"/>
              </w:rPr>
              <w:t>Policies</w:t>
            </w:r>
          </w:p>
        </w:tc>
        <w:tc>
          <w:tcPr>
            <w:tcW w:w="6997" w:type="dxa"/>
          </w:tcPr>
          <w:p w14:paraId="3E40D0B1" w14:textId="77777777" w:rsidR="0047040B" w:rsidRPr="005D6F33" w:rsidRDefault="00AB5694">
            <w:pPr>
              <w:pStyle w:val="Heading1"/>
              <w:spacing w:before="0"/>
              <w:rPr>
                <w:rFonts w:cs="Arial"/>
                <w:b w:val="0"/>
                <w:bCs/>
                <w:sz w:val="24"/>
                <w:szCs w:val="24"/>
              </w:rPr>
            </w:pPr>
            <w:hyperlink r:id="rId18" w:history="1">
              <w:r w:rsidR="007507A8" w:rsidRPr="005D6F33">
                <w:rPr>
                  <w:rStyle w:val="Hyperlink"/>
                  <w:rFonts w:cs="Arial"/>
                  <w:b w:val="0"/>
                  <w:bCs/>
                  <w:sz w:val="24"/>
                  <w:szCs w:val="24"/>
                </w:rPr>
                <w:t>Sustainable Building and Infrastructure Policy</w:t>
              </w:r>
            </w:hyperlink>
          </w:p>
          <w:p w14:paraId="77EC824A" w14:textId="77777777" w:rsidR="00B25493" w:rsidRPr="005D6F33" w:rsidRDefault="00AB5694" w:rsidP="00B25493">
            <w:pPr>
              <w:rPr>
                <w:rStyle w:val="Hyperlink"/>
              </w:rPr>
            </w:pPr>
            <w:hyperlink r:id="rId19" w:history="1">
              <w:r w:rsidR="00B25493" w:rsidRPr="005D6F33">
                <w:rPr>
                  <w:rStyle w:val="Hyperlink"/>
                </w:rPr>
                <w:t>Procurement Policy 2021-2025</w:t>
              </w:r>
            </w:hyperlink>
          </w:p>
          <w:p w14:paraId="0917E543" w14:textId="77777777" w:rsidR="00CF3257" w:rsidRPr="005D6F33" w:rsidRDefault="00CF3257" w:rsidP="00B25493">
            <w:pPr>
              <w:rPr>
                <w:rStyle w:val="Hyperlink"/>
              </w:rPr>
            </w:pPr>
            <w:r w:rsidRPr="005D6F33">
              <w:rPr>
                <w:rStyle w:val="Hyperlink"/>
              </w:rPr>
              <w:t>Financial Hardship Policy</w:t>
            </w:r>
          </w:p>
          <w:p w14:paraId="519686A7" w14:textId="5D55A53E" w:rsidR="007F052E" w:rsidRPr="005D6F33" w:rsidRDefault="00AB5694" w:rsidP="00B25493">
            <w:pPr>
              <w:rPr>
                <w:color w:val="0000FF"/>
                <w:u w:val="single"/>
              </w:rPr>
            </w:pPr>
            <w:hyperlink r:id="rId20" w:history="1">
              <w:r w:rsidR="007F052E" w:rsidRPr="005D6F33">
                <w:rPr>
                  <w:rStyle w:val="Hyperlink"/>
                </w:rPr>
                <w:t>Community and Stakeholder Engagement Policy 2021</w:t>
              </w:r>
            </w:hyperlink>
          </w:p>
        </w:tc>
      </w:tr>
      <w:tr w:rsidR="0047040B" w:rsidRPr="00C638B7" w14:paraId="49FB27A4" w14:textId="77777777" w:rsidTr="008E5EFC">
        <w:tc>
          <w:tcPr>
            <w:tcW w:w="2805" w:type="dxa"/>
          </w:tcPr>
          <w:p w14:paraId="441A020D" w14:textId="77777777" w:rsidR="0047040B" w:rsidRPr="00C638B7" w:rsidRDefault="0047040B">
            <w:pPr>
              <w:pStyle w:val="Heading1"/>
              <w:spacing w:before="0"/>
              <w:rPr>
                <w:rFonts w:cs="Arial"/>
                <w:sz w:val="24"/>
                <w:szCs w:val="24"/>
              </w:rPr>
            </w:pPr>
            <w:r w:rsidRPr="00C638B7">
              <w:rPr>
                <w:rFonts w:cs="Arial"/>
                <w:sz w:val="24"/>
                <w:szCs w:val="24"/>
              </w:rPr>
              <w:t>Strategies</w:t>
            </w:r>
            <w:r w:rsidR="00B152AB" w:rsidRPr="00C638B7">
              <w:rPr>
                <w:rFonts w:cs="Arial"/>
                <w:sz w:val="24"/>
                <w:szCs w:val="24"/>
              </w:rPr>
              <w:t>/Plans</w:t>
            </w:r>
          </w:p>
        </w:tc>
        <w:tc>
          <w:tcPr>
            <w:tcW w:w="6997" w:type="dxa"/>
          </w:tcPr>
          <w:p w14:paraId="2674F1E1" w14:textId="77777777" w:rsidR="00CF3257" w:rsidRPr="005D6F33" w:rsidRDefault="00AB5694" w:rsidP="00CF3257">
            <w:hyperlink r:id="rId21" w:history="1">
              <w:r w:rsidR="00CF3257" w:rsidRPr="005D6F33">
                <w:rPr>
                  <w:rStyle w:val="Hyperlink"/>
                </w:rPr>
                <w:t>Climate Emergency Action Plan 2020-25</w:t>
              </w:r>
            </w:hyperlink>
          </w:p>
          <w:p w14:paraId="6F700A1F" w14:textId="77777777" w:rsidR="00CF3257" w:rsidRPr="005D6F33" w:rsidRDefault="00AB5694" w:rsidP="00CF3257">
            <w:pPr>
              <w:rPr>
                <w:rStyle w:val="Hyperlink"/>
              </w:rPr>
            </w:pPr>
            <w:hyperlink r:id="rId22" w:history="1">
              <w:r w:rsidR="00CF3257" w:rsidRPr="005D6F33">
                <w:rPr>
                  <w:rStyle w:val="Hyperlink"/>
                </w:rPr>
                <w:t>Environmental Sustainability Framework</w:t>
              </w:r>
            </w:hyperlink>
          </w:p>
          <w:p w14:paraId="34CD7B2C" w14:textId="106B8FAF" w:rsidR="00F534A6" w:rsidRPr="005D6F33" w:rsidRDefault="00CF3257" w:rsidP="00F534A6">
            <w:pPr>
              <w:rPr>
                <w:color w:val="0000FF"/>
                <w:u w:val="single"/>
              </w:rPr>
            </w:pPr>
            <w:r w:rsidRPr="005D6F33">
              <w:rPr>
                <w:rStyle w:val="Hyperlink"/>
              </w:rPr>
              <w:t>Revenue and Rating Plan 2021-2025</w:t>
            </w:r>
          </w:p>
        </w:tc>
      </w:tr>
      <w:tr w:rsidR="0047040B" w:rsidRPr="00C638B7" w14:paraId="17C33A2D" w14:textId="77777777" w:rsidTr="008E5EFC">
        <w:tc>
          <w:tcPr>
            <w:tcW w:w="2805" w:type="dxa"/>
          </w:tcPr>
          <w:p w14:paraId="432CA48E" w14:textId="77777777" w:rsidR="0047040B" w:rsidRPr="00C638B7" w:rsidRDefault="00B152AB">
            <w:pPr>
              <w:pStyle w:val="Heading1"/>
              <w:spacing w:before="0"/>
              <w:rPr>
                <w:rFonts w:cs="Arial"/>
                <w:sz w:val="24"/>
                <w:szCs w:val="24"/>
              </w:rPr>
            </w:pPr>
            <w:r w:rsidRPr="00C638B7">
              <w:rPr>
                <w:rFonts w:cs="Arial"/>
                <w:sz w:val="24"/>
                <w:szCs w:val="24"/>
              </w:rPr>
              <w:t>Procedures/Processes</w:t>
            </w:r>
          </w:p>
        </w:tc>
        <w:tc>
          <w:tcPr>
            <w:tcW w:w="6997" w:type="dxa"/>
          </w:tcPr>
          <w:p w14:paraId="22B1BD98" w14:textId="3DC767BD" w:rsidR="0047040B" w:rsidRPr="00C638B7" w:rsidRDefault="00AB5694">
            <w:pPr>
              <w:pStyle w:val="Heading1"/>
              <w:spacing w:before="0"/>
              <w:rPr>
                <w:rFonts w:cs="Arial"/>
                <w:b w:val="0"/>
                <w:bCs/>
                <w:sz w:val="24"/>
                <w:szCs w:val="24"/>
              </w:rPr>
            </w:pPr>
            <w:hyperlink r:id="rId23" w:history="1">
              <w:r w:rsidR="00F534A6" w:rsidRPr="007507A8">
                <w:rPr>
                  <w:rStyle w:val="Hyperlink"/>
                  <w:rFonts w:cs="Arial"/>
                  <w:b w:val="0"/>
                  <w:bCs/>
                  <w:sz w:val="24"/>
                  <w:szCs w:val="24"/>
                </w:rPr>
                <w:t>Budget Preparation Guidelines</w:t>
              </w:r>
            </w:hyperlink>
            <w:r w:rsidR="007507A8">
              <w:rPr>
                <w:rFonts w:cs="Arial"/>
                <w:b w:val="0"/>
                <w:bCs/>
                <w:sz w:val="24"/>
                <w:szCs w:val="24"/>
              </w:rPr>
              <w:t xml:space="preserve"> (Internal)</w:t>
            </w:r>
          </w:p>
        </w:tc>
      </w:tr>
      <w:tr w:rsidR="00B152AB" w:rsidRPr="00C638B7" w14:paraId="6203FAE8" w14:textId="77777777" w:rsidTr="008E5EFC">
        <w:tc>
          <w:tcPr>
            <w:tcW w:w="2805" w:type="dxa"/>
          </w:tcPr>
          <w:p w14:paraId="379B8E8A" w14:textId="77777777" w:rsidR="00B152AB" w:rsidRPr="00C638B7" w:rsidRDefault="00B152AB" w:rsidP="00B152AB">
            <w:pPr>
              <w:pStyle w:val="Heading1"/>
              <w:spacing w:before="0"/>
              <w:rPr>
                <w:rFonts w:cs="Arial"/>
                <w:sz w:val="24"/>
                <w:szCs w:val="24"/>
              </w:rPr>
            </w:pPr>
            <w:r w:rsidRPr="00C638B7">
              <w:rPr>
                <w:rFonts w:cs="Arial"/>
                <w:sz w:val="24"/>
                <w:szCs w:val="24"/>
              </w:rPr>
              <w:t>Other</w:t>
            </w:r>
          </w:p>
        </w:tc>
        <w:tc>
          <w:tcPr>
            <w:tcW w:w="6997" w:type="dxa"/>
          </w:tcPr>
          <w:p w14:paraId="65B814D4" w14:textId="02264A85" w:rsidR="00B152AB" w:rsidRPr="00C638B7" w:rsidRDefault="00AB5694">
            <w:pPr>
              <w:pStyle w:val="Heading1"/>
              <w:spacing w:before="0"/>
              <w:rPr>
                <w:rFonts w:cs="Arial"/>
                <w:b w:val="0"/>
                <w:bCs/>
                <w:sz w:val="24"/>
                <w:szCs w:val="24"/>
              </w:rPr>
            </w:pPr>
            <w:hyperlink r:id="rId24" w:history="1">
              <w:r w:rsidR="00DB6DD5" w:rsidRPr="00B12CE2">
                <w:rPr>
                  <w:rStyle w:val="Hyperlink"/>
                  <w:rFonts w:cs="Arial"/>
                  <w:b w:val="0"/>
                  <w:bCs/>
                  <w:sz w:val="24"/>
                  <w:szCs w:val="24"/>
                </w:rPr>
                <w:t>Ministerial Guidelines 2004</w:t>
              </w:r>
            </w:hyperlink>
          </w:p>
        </w:tc>
      </w:tr>
    </w:tbl>
    <w:p w14:paraId="2AAD52F8" w14:textId="77777777" w:rsidR="0047040B" w:rsidRPr="00C638B7" w:rsidRDefault="0047040B">
      <w:pPr>
        <w:rPr>
          <w:rFonts w:cs="Arial"/>
        </w:rPr>
      </w:pPr>
    </w:p>
    <w:p w14:paraId="09A49298" w14:textId="77777777" w:rsidR="0047040B" w:rsidRPr="00C638B7" w:rsidRDefault="0047040B">
      <w:pPr>
        <w:pStyle w:val="heading5"/>
        <w:tabs>
          <w:tab w:val="left" w:pos="2805"/>
        </w:tabs>
        <w:rPr>
          <w:rFonts w:ascii="Arial" w:hAnsi="Arial" w:cs="Arial"/>
          <w:b w:val="0"/>
          <w:bCs/>
          <w:iCs/>
          <w:szCs w:val="24"/>
        </w:rPr>
      </w:pPr>
      <w:r w:rsidRPr="00C638B7">
        <w:rPr>
          <w:rFonts w:ascii="Arial" w:hAnsi="Arial" w:cs="Arial"/>
          <w:szCs w:val="24"/>
        </w:rPr>
        <w:t xml:space="preserve">Please note:  </w:t>
      </w:r>
      <w:r w:rsidRPr="00C638B7">
        <w:rPr>
          <w:rFonts w:ascii="Arial" w:hAnsi="Arial" w:cs="Arial"/>
          <w:b w:val="0"/>
          <w:bCs/>
          <w:szCs w:val="24"/>
        </w:rPr>
        <w:t>This policy is current as at the date of approval.  Refer to Council’s website (</w:t>
      </w:r>
      <w:hyperlink r:id="rId25" w:history="1">
        <w:r w:rsidRPr="00C638B7">
          <w:rPr>
            <w:rStyle w:val="Hyperlink"/>
            <w:rFonts w:ascii="Arial" w:hAnsi="Arial" w:cs="Arial"/>
            <w:b w:val="0"/>
            <w:bCs/>
            <w:szCs w:val="24"/>
          </w:rPr>
          <w:t>www.bayside.vic.gov.au</w:t>
        </w:r>
      </w:hyperlink>
      <w:r w:rsidRPr="00C638B7">
        <w:rPr>
          <w:rFonts w:ascii="Arial" w:hAnsi="Arial" w:cs="Arial"/>
          <w:b w:val="0"/>
          <w:bCs/>
          <w:szCs w:val="24"/>
        </w:rPr>
        <w:t xml:space="preserve">) </w:t>
      </w:r>
      <w:r w:rsidR="00B152AB" w:rsidRPr="00C638B7">
        <w:rPr>
          <w:rFonts w:ascii="Arial" w:hAnsi="Arial" w:cs="Arial"/>
          <w:b w:val="0"/>
          <w:bCs/>
          <w:szCs w:val="24"/>
        </w:rPr>
        <w:t>t</w:t>
      </w:r>
      <w:r w:rsidRPr="00C638B7">
        <w:rPr>
          <w:rFonts w:ascii="Arial" w:hAnsi="Arial" w:cs="Arial"/>
          <w:b w:val="0"/>
          <w:bCs/>
          <w:szCs w:val="24"/>
        </w:rPr>
        <w:t>o ensure this is the latest version.</w:t>
      </w:r>
    </w:p>
    <w:p w14:paraId="09987B1B" w14:textId="77777777" w:rsidR="0047040B" w:rsidRPr="00C638B7" w:rsidRDefault="0047040B">
      <w:pPr>
        <w:pStyle w:val="heading5"/>
        <w:tabs>
          <w:tab w:val="left" w:pos="2805"/>
        </w:tabs>
        <w:rPr>
          <w:rFonts w:ascii="Arial" w:hAnsi="Arial" w:cs="Arial"/>
          <w:bCs/>
          <w:iCs/>
          <w:szCs w:val="24"/>
        </w:rPr>
      </w:pPr>
    </w:p>
    <w:p w14:paraId="0ECDE7C4" w14:textId="5F943591" w:rsidR="002C0404" w:rsidRPr="00B25493" w:rsidRDefault="002C0404" w:rsidP="002C0404">
      <w:pPr>
        <w:pStyle w:val="Heading1"/>
        <w:ind w:left="1134" w:hanging="1134"/>
        <w:rPr>
          <w:rFonts w:cs="Arial"/>
          <w:sz w:val="24"/>
          <w:szCs w:val="24"/>
          <w:highlight w:val="yellow"/>
        </w:rPr>
      </w:pPr>
    </w:p>
    <w:sectPr w:rsidR="002C0404" w:rsidRPr="00B25493" w:rsidSect="00CF3257">
      <w:type w:val="continuous"/>
      <w:pgSz w:w="11899" w:h="16838" w:code="9"/>
      <w:pgMar w:top="992" w:right="987" w:bottom="1985" w:left="992" w:header="425"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C001" w14:textId="77777777" w:rsidR="00AB5694" w:rsidRDefault="00AB5694">
      <w:r>
        <w:separator/>
      </w:r>
    </w:p>
  </w:endnote>
  <w:endnote w:type="continuationSeparator" w:id="0">
    <w:p w14:paraId="1CB90677" w14:textId="77777777" w:rsidR="00AB5694" w:rsidRDefault="00AB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3B57" w14:textId="77777777" w:rsidR="00BE0CF6" w:rsidRDefault="00BE0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93C2" w14:textId="5DC5D5F7" w:rsidR="0047040B" w:rsidRPr="006A0D46" w:rsidRDefault="0047040B">
    <w:pPr>
      <w:pStyle w:val="Footer"/>
      <w:tabs>
        <w:tab w:val="clear" w:pos="4320"/>
        <w:tab w:val="clear" w:pos="8640"/>
        <w:tab w:val="right" w:pos="9923"/>
      </w:tabs>
      <w:ind w:right="-3"/>
      <w:rPr>
        <w:color w:val="A6A6A6"/>
        <w:sz w:val="16"/>
        <w:szCs w:val="16"/>
      </w:rPr>
    </w:pPr>
    <w:r w:rsidRPr="006A0D46">
      <w:rPr>
        <w:color w:val="A6A6A6"/>
        <w:sz w:val="16"/>
        <w:szCs w:val="16"/>
      </w:rPr>
      <w:t xml:space="preserve">Version </w:t>
    </w:r>
    <w:r w:rsidR="004B7699" w:rsidRPr="006A0D46">
      <w:rPr>
        <w:color w:val="A6A6A6"/>
        <w:sz w:val="16"/>
        <w:szCs w:val="16"/>
      </w:rPr>
      <w:t xml:space="preserve">                                                                         TRIM </w:t>
    </w:r>
    <w:r w:rsidR="008E5EFC" w:rsidRPr="008E5EFC">
      <w:rPr>
        <w:color w:val="A6A6A6"/>
        <w:sz w:val="16"/>
        <w:szCs w:val="16"/>
      </w:rPr>
      <w:t>DOC/22/1013</w:t>
    </w:r>
    <w:r w:rsidRPr="006A0D46">
      <w:rPr>
        <w:color w:val="A6A6A6"/>
        <w:sz w:val="16"/>
        <w:szCs w:val="16"/>
      </w:rPr>
      <w:tab/>
      <w:t xml:space="preserve">Page </w:t>
    </w:r>
    <w:r w:rsidRPr="006A0D46">
      <w:rPr>
        <w:rStyle w:val="PageNumber"/>
        <w:color w:val="A6A6A6"/>
        <w:sz w:val="16"/>
        <w:szCs w:val="16"/>
      </w:rPr>
      <w:fldChar w:fldCharType="begin"/>
    </w:r>
    <w:r w:rsidRPr="006A0D46">
      <w:rPr>
        <w:rStyle w:val="PageNumber"/>
        <w:color w:val="A6A6A6"/>
        <w:sz w:val="16"/>
        <w:szCs w:val="16"/>
      </w:rPr>
      <w:instrText xml:space="preserve"> PAGE </w:instrText>
    </w:r>
    <w:r w:rsidRPr="006A0D46">
      <w:rPr>
        <w:rStyle w:val="PageNumber"/>
        <w:color w:val="A6A6A6"/>
        <w:sz w:val="16"/>
        <w:szCs w:val="16"/>
      </w:rPr>
      <w:fldChar w:fldCharType="separate"/>
    </w:r>
    <w:r w:rsidR="00083858" w:rsidRPr="006A0D46">
      <w:rPr>
        <w:rStyle w:val="PageNumber"/>
        <w:noProof/>
        <w:color w:val="A6A6A6"/>
        <w:sz w:val="16"/>
        <w:szCs w:val="16"/>
      </w:rPr>
      <w:t>2</w:t>
    </w:r>
    <w:r w:rsidRPr="006A0D46">
      <w:rPr>
        <w:rStyle w:val="PageNumber"/>
        <w:color w:val="A6A6A6"/>
        <w:sz w:val="16"/>
        <w:szCs w:val="16"/>
      </w:rPr>
      <w:fldChar w:fldCharType="end"/>
    </w:r>
  </w:p>
  <w:p w14:paraId="59B4629A" w14:textId="1910DB37" w:rsidR="0047040B" w:rsidRPr="00D73E39" w:rsidRDefault="00D73E39">
    <w:pPr>
      <w:pStyle w:val="Footer"/>
      <w:tabs>
        <w:tab w:val="clear" w:pos="8640"/>
      </w:tabs>
      <w:ind w:right="-1418"/>
      <w:rPr>
        <w:sz w:val="20"/>
        <w:szCs w:val="20"/>
      </w:rPr>
    </w:pPr>
    <w:r w:rsidRPr="006A0D46">
      <w:rPr>
        <w:color w:val="A6A6A6"/>
        <w:sz w:val="16"/>
        <w:szCs w:val="16"/>
      </w:rPr>
      <w:fldChar w:fldCharType="begin"/>
    </w:r>
    <w:r w:rsidRPr="006A0D46">
      <w:rPr>
        <w:color w:val="A6A6A6"/>
        <w:sz w:val="16"/>
        <w:szCs w:val="16"/>
      </w:rPr>
      <w:instrText xml:space="preserve"> DATE \@ "MMMM yy" </w:instrText>
    </w:r>
    <w:r w:rsidRPr="006A0D46">
      <w:rPr>
        <w:color w:val="A6A6A6"/>
        <w:sz w:val="16"/>
        <w:szCs w:val="16"/>
      </w:rPr>
      <w:fldChar w:fldCharType="separate"/>
    </w:r>
    <w:r w:rsidR="00BE0CF6">
      <w:rPr>
        <w:noProof/>
        <w:color w:val="A6A6A6"/>
        <w:sz w:val="16"/>
        <w:szCs w:val="16"/>
      </w:rPr>
      <w:t>July 22</w:t>
    </w:r>
    <w:r w:rsidRPr="006A0D46">
      <w:rPr>
        <w:color w:val="A6A6A6"/>
        <w:sz w:val="16"/>
        <w:szCs w:val="16"/>
      </w:rPr>
      <w:fldChar w:fldCharType="end"/>
    </w:r>
  </w:p>
  <w:p w14:paraId="783781B6" w14:textId="77777777" w:rsidR="0047040B" w:rsidRDefault="0047040B">
    <w:pPr>
      <w:pStyle w:val="Footer"/>
      <w:tabs>
        <w:tab w:val="clear" w:pos="8640"/>
      </w:tabs>
      <w:ind w:right="-1418"/>
    </w:pPr>
  </w:p>
  <w:p w14:paraId="0478262C" w14:textId="77777777" w:rsidR="0047040B" w:rsidRDefault="0047040B">
    <w:pPr>
      <w:pStyle w:val="Footer"/>
      <w:tabs>
        <w:tab w:val="clear" w:pos="8640"/>
      </w:tabs>
      <w:ind w:right="-1418"/>
    </w:pPr>
  </w:p>
  <w:p w14:paraId="105D0DA0" w14:textId="033B61AC" w:rsidR="0047040B" w:rsidRDefault="00A107F5">
    <w:pPr>
      <w:pStyle w:val="Footer"/>
      <w:tabs>
        <w:tab w:val="clear" w:pos="8640"/>
      </w:tabs>
      <w:ind w:right="-1418"/>
    </w:pPr>
    <w:r>
      <w:rPr>
        <w:noProof/>
        <w:szCs w:val="20"/>
        <w:lang w:eastAsia="en-AU"/>
      </w:rPr>
      <w:drawing>
        <wp:anchor distT="0" distB="0" distL="114300" distR="114300" simplePos="0" relativeHeight="251658240" behindDoc="1" locked="0" layoutInCell="1" allowOverlap="1" wp14:anchorId="5B8A43CA" wp14:editId="13B78A25">
          <wp:simplePos x="0" y="0"/>
          <wp:positionH relativeFrom="column">
            <wp:posOffset>-431165</wp:posOffset>
          </wp:positionH>
          <wp:positionV relativeFrom="paragraph">
            <wp:posOffset>-472440</wp:posOffset>
          </wp:positionV>
          <wp:extent cx="7160260" cy="7219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0260" cy="7219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A5BB" w14:textId="77777777" w:rsidR="0047040B" w:rsidRPr="006A0D46" w:rsidRDefault="0047040B" w:rsidP="00037A41">
    <w:pPr>
      <w:pStyle w:val="Footer"/>
      <w:tabs>
        <w:tab w:val="clear" w:pos="4320"/>
        <w:tab w:val="clear" w:pos="8640"/>
        <w:tab w:val="right" w:pos="10490"/>
      </w:tabs>
      <w:ind w:left="10490" w:hanging="9923"/>
      <w:rPr>
        <w:color w:val="A6A6A6"/>
        <w:sz w:val="16"/>
        <w:szCs w:val="16"/>
      </w:rPr>
    </w:pPr>
    <w:r w:rsidRPr="006A0D46">
      <w:rPr>
        <w:color w:val="A6A6A6"/>
        <w:sz w:val="16"/>
        <w:szCs w:val="16"/>
      </w:rPr>
      <w:t xml:space="preserve">Version </w:t>
    </w:r>
    <w:r w:rsidR="00037A41" w:rsidRPr="006A0D46">
      <w:rPr>
        <w:color w:val="A6A6A6"/>
        <w:sz w:val="16"/>
        <w:szCs w:val="16"/>
      </w:rPr>
      <w:t xml:space="preserve">                                                     TRIM DOC/1</w:t>
    </w:r>
    <w:r w:rsidR="00A23612" w:rsidRPr="006A0D46">
      <w:rPr>
        <w:color w:val="A6A6A6"/>
        <w:sz w:val="16"/>
        <w:szCs w:val="16"/>
      </w:rPr>
      <w:t>7</w:t>
    </w:r>
    <w:r w:rsidR="00037A41" w:rsidRPr="006A0D46">
      <w:rPr>
        <w:color w:val="A6A6A6"/>
        <w:sz w:val="16"/>
        <w:szCs w:val="16"/>
      </w:rPr>
      <w:t>/</w:t>
    </w:r>
    <w:r w:rsidR="00A23612" w:rsidRPr="006A0D46">
      <w:rPr>
        <w:color w:val="A6A6A6"/>
        <w:sz w:val="16"/>
        <w:szCs w:val="16"/>
      </w:rPr>
      <w:t>240001</w:t>
    </w:r>
    <w:r w:rsidRPr="006A0D46">
      <w:rPr>
        <w:color w:val="A6A6A6"/>
        <w:sz w:val="16"/>
        <w:szCs w:val="16"/>
      </w:rPr>
      <w:tab/>
      <w:t xml:space="preserve">Page </w:t>
    </w:r>
    <w:r w:rsidRPr="006A0D46">
      <w:rPr>
        <w:rStyle w:val="PageNumber"/>
        <w:color w:val="A6A6A6"/>
        <w:sz w:val="16"/>
        <w:szCs w:val="16"/>
      </w:rPr>
      <w:fldChar w:fldCharType="begin"/>
    </w:r>
    <w:r w:rsidRPr="006A0D46">
      <w:rPr>
        <w:rStyle w:val="PageNumber"/>
        <w:color w:val="A6A6A6"/>
        <w:sz w:val="16"/>
        <w:szCs w:val="16"/>
      </w:rPr>
      <w:instrText xml:space="preserve"> PAGE </w:instrText>
    </w:r>
    <w:r w:rsidRPr="006A0D46">
      <w:rPr>
        <w:rStyle w:val="PageNumber"/>
        <w:color w:val="A6A6A6"/>
        <w:sz w:val="16"/>
        <w:szCs w:val="16"/>
      </w:rPr>
      <w:fldChar w:fldCharType="separate"/>
    </w:r>
    <w:r w:rsidR="00083858" w:rsidRPr="006A0D46">
      <w:rPr>
        <w:rStyle w:val="PageNumber"/>
        <w:noProof/>
        <w:color w:val="A6A6A6"/>
        <w:sz w:val="16"/>
        <w:szCs w:val="16"/>
      </w:rPr>
      <w:t>1</w:t>
    </w:r>
    <w:r w:rsidRPr="006A0D46">
      <w:rPr>
        <w:rStyle w:val="PageNumber"/>
        <w:color w:val="A6A6A6"/>
        <w:sz w:val="16"/>
        <w:szCs w:val="16"/>
      </w:rPr>
      <w:fldChar w:fldCharType="end"/>
    </w:r>
  </w:p>
  <w:p w14:paraId="7755E407" w14:textId="297969EC" w:rsidR="0047040B" w:rsidRPr="006A0D46" w:rsidRDefault="00D73E39" w:rsidP="00D73E39">
    <w:pPr>
      <w:pStyle w:val="Footer"/>
      <w:tabs>
        <w:tab w:val="clear" w:pos="4320"/>
        <w:tab w:val="clear" w:pos="8640"/>
        <w:tab w:val="left" w:pos="1958"/>
      </w:tabs>
      <w:ind w:left="567"/>
      <w:rPr>
        <w:color w:val="A6A6A6"/>
        <w:sz w:val="16"/>
        <w:szCs w:val="16"/>
      </w:rPr>
    </w:pPr>
    <w:r w:rsidRPr="006A0D46">
      <w:rPr>
        <w:color w:val="A6A6A6"/>
        <w:sz w:val="16"/>
        <w:szCs w:val="16"/>
      </w:rPr>
      <w:fldChar w:fldCharType="begin"/>
    </w:r>
    <w:r w:rsidRPr="006A0D46">
      <w:rPr>
        <w:color w:val="A6A6A6"/>
        <w:sz w:val="16"/>
        <w:szCs w:val="16"/>
      </w:rPr>
      <w:instrText xml:space="preserve"> DATE \@ "MMMM yy" </w:instrText>
    </w:r>
    <w:r w:rsidRPr="006A0D46">
      <w:rPr>
        <w:color w:val="A6A6A6"/>
        <w:sz w:val="16"/>
        <w:szCs w:val="16"/>
      </w:rPr>
      <w:fldChar w:fldCharType="separate"/>
    </w:r>
    <w:r w:rsidR="00BE0CF6">
      <w:rPr>
        <w:noProof/>
        <w:color w:val="A6A6A6"/>
        <w:sz w:val="16"/>
        <w:szCs w:val="16"/>
      </w:rPr>
      <w:t>July 22</w:t>
    </w:r>
    <w:r w:rsidRPr="006A0D46">
      <w:rPr>
        <w:color w:val="A6A6A6"/>
        <w:sz w:val="16"/>
        <w:szCs w:val="16"/>
      </w:rPr>
      <w:fldChar w:fldCharType="end"/>
    </w:r>
  </w:p>
  <w:p w14:paraId="3519CC5E" w14:textId="45FA16F0" w:rsidR="0047040B" w:rsidRDefault="00A107F5">
    <w:pPr>
      <w:pStyle w:val="Footer"/>
    </w:pPr>
    <w:r>
      <w:rPr>
        <w:noProof/>
        <w:color w:val="A6A6A6"/>
        <w:sz w:val="16"/>
        <w:szCs w:val="16"/>
      </w:rPr>
      <w:drawing>
        <wp:inline distT="0" distB="0" distL="0" distR="0" wp14:anchorId="367B1E6D" wp14:editId="172D754F">
          <wp:extent cx="70739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0" cy="711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79A0" w14:textId="77777777" w:rsidR="00AB5694" w:rsidRDefault="00AB5694">
      <w:r>
        <w:separator/>
      </w:r>
    </w:p>
  </w:footnote>
  <w:footnote w:type="continuationSeparator" w:id="0">
    <w:p w14:paraId="00E0A7E2" w14:textId="77777777" w:rsidR="00AB5694" w:rsidRDefault="00AB5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324" w14:textId="77777777" w:rsidR="00BE0CF6" w:rsidRDefault="00BE0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FC0E" w14:textId="13ADBBEF" w:rsidR="0047040B" w:rsidRDefault="00A107F5">
    <w:pPr>
      <w:pStyle w:val="Header"/>
      <w:tabs>
        <w:tab w:val="clear" w:pos="8640"/>
      </w:tabs>
      <w:ind w:right="-1"/>
    </w:pPr>
    <w:r>
      <w:rPr>
        <w:noProof/>
        <w:szCs w:val="20"/>
        <w:lang w:eastAsia="en-AU"/>
      </w:rPr>
      <mc:AlternateContent>
        <mc:Choice Requires="wps">
          <w:drawing>
            <wp:anchor distT="0" distB="0" distL="114300" distR="114300" simplePos="0" relativeHeight="251657216" behindDoc="1" locked="0" layoutInCell="1" allowOverlap="1" wp14:anchorId="62290AA5" wp14:editId="0867DD9E">
              <wp:simplePos x="0" y="0"/>
              <wp:positionH relativeFrom="page">
                <wp:posOffset>685800</wp:posOffset>
              </wp:positionH>
              <wp:positionV relativeFrom="page">
                <wp:posOffset>685800</wp:posOffset>
              </wp:positionV>
              <wp:extent cx="3977640" cy="422910"/>
              <wp:effectExtent l="0" t="0" r="381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17EAA" w14:textId="77777777" w:rsidR="0047040B" w:rsidRDefault="0047040B">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90AA5" id="_x0000_t202" coordsize="21600,21600" o:spt="202" path="m,l,21600r21600,l21600,xe">
              <v:stroke joinstyle="miter"/>
              <v:path gradientshapeok="t" o:connecttype="rect"/>
            </v:shapetype>
            <v:shape id="Text Box 6" o:spid="_x0000_s1026" type="#_x0000_t202" style="position:absolute;margin-left:54pt;margin-top:54pt;width:313.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" filled="f" stroked="f">
              <v:textbox inset="0,0,0,0">
                <w:txbxContent>
                  <w:p w14:paraId="54717EAA" w14:textId="77777777" w:rsidR="0047040B" w:rsidRDefault="0047040B">
                    <w:pPr>
                      <w:pStyle w:val="Masthead"/>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4DCD" w14:textId="3BDD6F42" w:rsidR="0047040B" w:rsidRDefault="00BE0CF6">
    <w:pPr>
      <w:pStyle w:val="Header"/>
    </w:pPr>
    <w:sdt>
      <w:sdtPr>
        <w:id w:val="-1869220845"/>
        <w:docPartObj>
          <w:docPartGallery w:val="Watermarks"/>
          <w:docPartUnique/>
        </w:docPartObj>
      </w:sdtPr>
      <w:sdtContent>
        <w:r>
          <w:rPr>
            <w:noProof/>
          </w:rPr>
          <w:pict w14:anchorId="1BBF7E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107F5">
      <w:rPr>
        <w:noProof/>
        <w:szCs w:val="20"/>
        <w:lang w:eastAsia="en-AU"/>
      </w:rPr>
      <mc:AlternateContent>
        <mc:Choice Requires="wps">
          <w:drawing>
            <wp:anchor distT="0" distB="0" distL="114300" distR="114300" simplePos="0" relativeHeight="251656192" behindDoc="0" locked="0" layoutInCell="1" allowOverlap="1" wp14:anchorId="62579324" wp14:editId="55475547">
              <wp:simplePos x="0" y="0"/>
              <wp:positionH relativeFrom="column">
                <wp:posOffset>2181225</wp:posOffset>
              </wp:positionH>
              <wp:positionV relativeFrom="paragraph">
                <wp:posOffset>875030</wp:posOffset>
              </wp:positionV>
              <wp:extent cx="2743200" cy="571500"/>
              <wp:effectExtent l="0" t="0" r="0"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12700">
                            <a:solidFill>
                              <a:srgbClr val="000000">
                                <a:alpha val="0"/>
                              </a:srgbClr>
                            </a:solidFill>
                            <a:miter lim="800000"/>
                            <a:headEnd/>
                            <a:tailEnd/>
                          </a14:hiddenLine>
                        </a:ext>
                      </a:extLst>
                    </wps:spPr>
                    <wps:txbx>
                      <w:txbxContent>
                        <w:p w14:paraId="43529F6F" w14:textId="77777777" w:rsidR="0047040B" w:rsidRDefault="0047040B">
                          <w:pPr>
                            <w:pStyle w:val="Masthead"/>
                            <w:rPr>
                              <w:b/>
                              <w:bCs/>
                              <w:sz w:val="52"/>
                            </w:rPr>
                          </w:pPr>
                          <w:r>
                            <w:rPr>
                              <w:b/>
                              <w:bCs/>
                              <w:sz w:val="52"/>
                            </w:rPr>
                            <w:t>Council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79324" id="_x0000_t202" coordsize="21600,21600" o:spt="202" path="m,l,21600r21600,l21600,xe">
              <v:stroke joinstyle="miter"/>
              <v:path gradientshapeok="t" o:connecttype="rect"/>
            </v:shapetype>
            <v:shape id="Text Box 9" o:spid="_x0000_s1027" type="#_x0000_t202" style="position:absolute;margin-left:171.75pt;margin-top:68.9pt;width:3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" filled="f" fillcolor="yellow" stroked="f" strokeweight="1pt">
              <v:fill opacity="0"/>
              <v:stroke opacity="0"/>
              <v:textbox>
                <w:txbxContent>
                  <w:p w14:paraId="43529F6F" w14:textId="77777777" w:rsidR="0047040B" w:rsidRDefault="0047040B">
                    <w:pPr>
                      <w:pStyle w:val="Masthead"/>
                      <w:rPr>
                        <w:b/>
                        <w:bCs/>
                        <w:sz w:val="52"/>
                      </w:rPr>
                    </w:pPr>
                    <w:r>
                      <w:rPr>
                        <w:b/>
                        <w:bCs/>
                        <w:sz w:val="52"/>
                      </w:rPr>
                      <w:t>Council Policy</w:t>
                    </w:r>
                  </w:p>
                </w:txbxContent>
              </v:textbox>
            </v:shape>
          </w:pict>
        </mc:Fallback>
      </mc:AlternateContent>
    </w:r>
    <w:r w:rsidR="00A107F5">
      <w:rPr>
        <w:noProof/>
      </w:rPr>
      <w:drawing>
        <wp:inline distT="0" distB="0" distL="0" distR="0" wp14:anchorId="54B4C875" wp14:editId="20BA9E5F">
          <wp:extent cx="7092950" cy="144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0" cy="1441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DA10E04"/>
    <w:multiLevelType w:val="hybridMultilevel"/>
    <w:tmpl w:val="6C3233C2"/>
    <w:lvl w:ilvl="0" w:tplc="9800A64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5B5F9F"/>
    <w:multiLevelType w:val="multilevel"/>
    <w:tmpl w:val="687E3ED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BB14D84"/>
    <w:multiLevelType w:val="hybridMultilevel"/>
    <w:tmpl w:val="6116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7555E3"/>
    <w:multiLevelType w:val="hybridMultilevel"/>
    <w:tmpl w:val="7620065A"/>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5" w15:restartNumberingAfterBreak="0">
    <w:nsid w:val="3F253068"/>
    <w:multiLevelType w:val="hybridMultilevel"/>
    <w:tmpl w:val="3938849E"/>
    <w:lvl w:ilvl="0" w:tplc="2FDC544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 w15:restartNumberingAfterBreak="0">
    <w:nsid w:val="4CE408E2"/>
    <w:multiLevelType w:val="hybridMultilevel"/>
    <w:tmpl w:val="48D0E59A"/>
    <w:lvl w:ilvl="0" w:tplc="60EA4660">
      <w:start w:val="1"/>
      <w:numFmt w:val="bullet"/>
      <w:pStyle w:val="Secondbullet"/>
      <w:lvlText w:val="o"/>
      <w:lvlJc w:val="left"/>
      <w:pPr>
        <w:ind w:left="397" w:hanging="3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FA7C4D"/>
    <w:multiLevelType w:val="multilevel"/>
    <w:tmpl w:val="CC241D5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745C4AEE"/>
    <w:multiLevelType w:val="multilevel"/>
    <w:tmpl w:val="687E3ED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7CDC5693"/>
    <w:multiLevelType w:val="hybridMultilevel"/>
    <w:tmpl w:val="082A9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8416666">
    <w:abstractNumId w:val="1"/>
  </w:num>
  <w:num w:numId="2" w16cid:durableId="672029883">
    <w:abstractNumId w:val="7"/>
  </w:num>
  <w:num w:numId="3" w16cid:durableId="606355957">
    <w:abstractNumId w:val="3"/>
  </w:num>
  <w:num w:numId="4" w16cid:durableId="1321470834">
    <w:abstractNumId w:val="6"/>
  </w:num>
  <w:num w:numId="5" w16cid:durableId="1196195303">
    <w:abstractNumId w:val="0"/>
  </w:num>
  <w:num w:numId="6" w16cid:durableId="963459286">
    <w:abstractNumId w:val="10"/>
  </w:num>
  <w:num w:numId="7" w16cid:durableId="1898937182">
    <w:abstractNumId w:val="8"/>
  </w:num>
  <w:num w:numId="8" w16cid:durableId="341444291">
    <w:abstractNumId w:val="4"/>
  </w:num>
  <w:num w:numId="9" w16cid:durableId="1591350177">
    <w:abstractNumId w:val="5"/>
  </w:num>
  <w:num w:numId="10" w16cid:durableId="585580323">
    <w:abstractNumId w:val="2"/>
  </w:num>
  <w:num w:numId="11" w16cid:durableId="141944478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7A"/>
    <w:rsid w:val="0001006A"/>
    <w:rsid w:val="00010887"/>
    <w:rsid w:val="00024BD3"/>
    <w:rsid w:val="00025391"/>
    <w:rsid w:val="00031E17"/>
    <w:rsid w:val="00037A41"/>
    <w:rsid w:val="00043B3E"/>
    <w:rsid w:val="000547B4"/>
    <w:rsid w:val="00057399"/>
    <w:rsid w:val="00057C7F"/>
    <w:rsid w:val="00075022"/>
    <w:rsid w:val="00083858"/>
    <w:rsid w:val="0009458D"/>
    <w:rsid w:val="000B2377"/>
    <w:rsid w:val="000C57AD"/>
    <w:rsid w:val="000D04FC"/>
    <w:rsid w:val="000E35C4"/>
    <w:rsid w:val="000E6E47"/>
    <w:rsid w:val="000F2ACC"/>
    <w:rsid w:val="000F5565"/>
    <w:rsid w:val="001149B4"/>
    <w:rsid w:val="0011702F"/>
    <w:rsid w:val="001438FE"/>
    <w:rsid w:val="001572F3"/>
    <w:rsid w:val="00174026"/>
    <w:rsid w:val="00187D68"/>
    <w:rsid w:val="0019425C"/>
    <w:rsid w:val="001E2893"/>
    <w:rsid w:val="00202C71"/>
    <w:rsid w:val="00223A0E"/>
    <w:rsid w:val="00227A08"/>
    <w:rsid w:val="0025015B"/>
    <w:rsid w:val="00261B91"/>
    <w:rsid w:val="002709F4"/>
    <w:rsid w:val="002A0FAD"/>
    <w:rsid w:val="002C0404"/>
    <w:rsid w:val="002F01DF"/>
    <w:rsid w:val="003217B8"/>
    <w:rsid w:val="0036048E"/>
    <w:rsid w:val="00360E7E"/>
    <w:rsid w:val="0036236D"/>
    <w:rsid w:val="00372E26"/>
    <w:rsid w:val="0038541E"/>
    <w:rsid w:val="00396B5D"/>
    <w:rsid w:val="003C0AD8"/>
    <w:rsid w:val="003D6EA7"/>
    <w:rsid w:val="003F12B6"/>
    <w:rsid w:val="003F1528"/>
    <w:rsid w:val="00432315"/>
    <w:rsid w:val="004363E1"/>
    <w:rsid w:val="00460954"/>
    <w:rsid w:val="0047040B"/>
    <w:rsid w:val="004776A3"/>
    <w:rsid w:val="00477DC5"/>
    <w:rsid w:val="004863F6"/>
    <w:rsid w:val="004A16B8"/>
    <w:rsid w:val="004B5AD0"/>
    <w:rsid w:val="004B7699"/>
    <w:rsid w:val="004D3C41"/>
    <w:rsid w:val="004D7760"/>
    <w:rsid w:val="004F253C"/>
    <w:rsid w:val="00523817"/>
    <w:rsid w:val="00525413"/>
    <w:rsid w:val="005428B8"/>
    <w:rsid w:val="0054295D"/>
    <w:rsid w:val="0055625D"/>
    <w:rsid w:val="0057050D"/>
    <w:rsid w:val="005723B1"/>
    <w:rsid w:val="00573A99"/>
    <w:rsid w:val="00584B89"/>
    <w:rsid w:val="0058771A"/>
    <w:rsid w:val="005A6512"/>
    <w:rsid w:val="005B7F36"/>
    <w:rsid w:val="005D6F33"/>
    <w:rsid w:val="005F2429"/>
    <w:rsid w:val="00604608"/>
    <w:rsid w:val="00620827"/>
    <w:rsid w:val="00627537"/>
    <w:rsid w:val="0066166A"/>
    <w:rsid w:val="00691442"/>
    <w:rsid w:val="006A0D46"/>
    <w:rsid w:val="006B1BCD"/>
    <w:rsid w:val="006C595D"/>
    <w:rsid w:val="006E4E93"/>
    <w:rsid w:val="00700BA3"/>
    <w:rsid w:val="00707086"/>
    <w:rsid w:val="0072553A"/>
    <w:rsid w:val="00725934"/>
    <w:rsid w:val="007507A8"/>
    <w:rsid w:val="007744CF"/>
    <w:rsid w:val="00787C7A"/>
    <w:rsid w:val="007B0FCA"/>
    <w:rsid w:val="007C247A"/>
    <w:rsid w:val="007C7A15"/>
    <w:rsid w:val="007E4E4F"/>
    <w:rsid w:val="007F052E"/>
    <w:rsid w:val="007F412C"/>
    <w:rsid w:val="00826FCA"/>
    <w:rsid w:val="00830F64"/>
    <w:rsid w:val="00831D57"/>
    <w:rsid w:val="008404C9"/>
    <w:rsid w:val="00843686"/>
    <w:rsid w:val="00843FBD"/>
    <w:rsid w:val="00872288"/>
    <w:rsid w:val="008910B7"/>
    <w:rsid w:val="0089263B"/>
    <w:rsid w:val="008A0D5F"/>
    <w:rsid w:val="008A0EC5"/>
    <w:rsid w:val="008E39CA"/>
    <w:rsid w:val="008E5EFC"/>
    <w:rsid w:val="00912C67"/>
    <w:rsid w:val="009174C0"/>
    <w:rsid w:val="00920853"/>
    <w:rsid w:val="0092755B"/>
    <w:rsid w:val="00933C7D"/>
    <w:rsid w:val="00944332"/>
    <w:rsid w:val="009671A7"/>
    <w:rsid w:val="00975F4A"/>
    <w:rsid w:val="0098680D"/>
    <w:rsid w:val="00990B4D"/>
    <w:rsid w:val="009A062A"/>
    <w:rsid w:val="009C2774"/>
    <w:rsid w:val="009E77B9"/>
    <w:rsid w:val="009E7B67"/>
    <w:rsid w:val="00A107F5"/>
    <w:rsid w:val="00A13978"/>
    <w:rsid w:val="00A23612"/>
    <w:rsid w:val="00A372E4"/>
    <w:rsid w:val="00A4783A"/>
    <w:rsid w:val="00A53B71"/>
    <w:rsid w:val="00A5533F"/>
    <w:rsid w:val="00A56308"/>
    <w:rsid w:val="00AA5F5D"/>
    <w:rsid w:val="00AA6000"/>
    <w:rsid w:val="00AB5694"/>
    <w:rsid w:val="00AC11B4"/>
    <w:rsid w:val="00B04481"/>
    <w:rsid w:val="00B0783E"/>
    <w:rsid w:val="00B12CE2"/>
    <w:rsid w:val="00B152AB"/>
    <w:rsid w:val="00B23503"/>
    <w:rsid w:val="00B25493"/>
    <w:rsid w:val="00B44556"/>
    <w:rsid w:val="00B61910"/>
    <w:rsid w:val="00B62E5D"/>
    <w:rsid w:val="00B766ED"/>
    <w:rsid w:val="00B80C8C"/>
    <w:rsid w:val="00BD31D0"/>
    <w:rsid w:val="00BE0CF6"/>
    <w:rsid w:val="00BF108D"/>
    <w:rsid w:val="00C251EE"/>
    <w:rsid w:val="00C2626F"/>
    <w:rsid w:val="00C26B31"/>
    <w:rsid w:val="00C638B7"/>
    <w:rsid w:val="00C77235"/>
    <w:rsid w:val="00C82EB6"/>
    <w:rsid w:val="00C9589C"/>
    <w:rsid w:val="00CA5B6E"/>
    <w:rsid w:val="00CB0BCB"/>
    <w:rsid w:val="00CF3257"/>
    <w:rsid w:val="00D13371"/>
    <w:rsid w:val="00D16F7E"/>
    <w:rsid w:val="00D26BC8"/>
    <w:rsid w:val="00D378A1"/>
    <w:rsid w:val="00D46B1C"/>
    <w:rsid w:val="00D534F4"/>
    <w:rsid w:val="00D54CEA"/>
    <w:rsid w:val="00D63DC2"/>
    <w:rsid w:val="00D73E39"/>
    <w:rsid w:val="00D7677B"/>
    <w:rsid w:val="00D82314"/>
    <w:rsid w:val="00D856AE"/>
    <w:rsid w:val="00DB443C"/>
    <w:rsid w:val="00DB6DD5"/>
    <w:rsid w:val="00DE2C08"/>
    <w:rsid w:val="00DE56AA"/>
    <w:rsid w:val="00E00D0A"/>
    <w:rsid w:val="00E07509"/>
    <w:rsid w:val="00E342FA"/>
    <w:rsid w:val="00E36BF1"/>
    <w:rsid w:val="00E42BF7"/>
    <w:rsid w:val="00E469D1"/>
    <w:rsid w:val="00E639A8"/>
    <w:rsid w:val="00E718ED"/>
    <w:rsid w:val="00E80FB2"/>
    <w:rsid w:val="00EB0E20"/>
    <w:rsid w:val="00EC1D61"/>
    <w:rsid w:val="00EC21C8"/>
    <w:rsid w:val="00ED18F7"/>
    <w:rsid w:val="00ED2751"/>
    <w:rsid w:val="00ED2E14"/>
    <w:rsid w:val="00EE08EA"/>
    <w:rsid w:val="00EF5B3D"/>
    <w:rsid w:val="00F03B05"/>
    <w:rsid w:val="00F2100A"/>
    <w:rsid w:val="00F22AC2"/>
    <w:rsid w:val="00F534A6"/>
    <w:rsid w:val="00FB0B50"/>
    <w:rsid w:val="00FB7568"/>
    <w:rsid w:val="00FD0BA9"/>
    <w:rsid w:val="00FF7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D3E94"/>
  <w15:chartTrackingRefBased/>
  <w15:docId w15:val="{7284FB08-98AE-417D-8536-079472B7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120"/>
      <w:outlineLvl w:val="0"/>
    </w:pPr>
    <w:rPr>
      <w:b/>
      <w:kern w:val="32"/>
      <w:sz w:val="28"/>
      <w:szCs w:val="32"/>
    </w:rPr>
  </w:style>
  <w:style w:type="paragraph" w:styleId="Heading2">
    <w:name w:val="heading 2"/>
    <w:basedOn w:val="Normal"/>
    <w:next w:val="Normal"/>
    <w:qFormat/>
    <w:pPr>
      <w:keepNext/>
      <w:ind w:right="-1"/>
      <w:outlineLvl w:val="1"/>
    </w:pPr>
    <w:rPr>
      <w:b/>
      <w:bCs/>
      <w:sz w:val="28"/>
    </w:rPr>
  </w:style>
  <w:style w:type="paragraph" w:styleId="Heading3">
    <w:name w:val="heading 3"/>
    <w:basedOn w:val="Normal"/>
    <w:next w:val="Normal"/>
    <w:link w:val="Heading3Char"/>
    <w:uiPriority w:val="9"/>
    <w:semiHidden/>
    <w:unhideWhenUsed/>
    <w:qFormat/>
    <w:rsid w:val="002C040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C040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FB756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Masthead">
    <w:name w:val="Masthead"/>
    <w:basedOn w:val="Heading1"/>
    <w:pPr>
      <w:spacing w:before="0" w:line="180" w:lineRule="atLeast"/>
    </w:pPr>
    <w:rPr>
      <w:b w:val="0"/>
      <w:color w:val="FFFFFF"/>
      <w:kern w:val="0"/>
      <w:sz w:val="44"/>
      <w:szCs w:val="20"/>
    </w:rPr>
  </w:style>
  <w:style w:type="paragraph" w:customStyle="1" w:styleId="Normal10pts">
    <w:name w:val="Normal 10 pts"/>
    <w:basedOn w:val="Normal"/>
    <w:pPr>
      <w:tabs>
        <w:tab w:val="left" w:pos="851"/>
      </w:tabs>
      <w:ind w:right="-1"/>
    </w:pPr>
    <w:rPr>
      <w:sz w:val="20"/>
    </w:rPr>
  </w:style>
  <w:style w:type="paragraph" w:customStyle="1" w:styleId="SubHeading">
    <w:name w:val="Sub Heading"/>
    <w:basedOn w:val="Normal"/>
    <w:pPr>
      <w:tabs>
        <w:tab w:val="left" w:pos="851"/>
      </w:tabs>
      <w:ind w:right="-1"/>
    </w:pPr>
    <w:rPr>
      <w:color w:val="0F4B90"/>
      <w:kern w:val="20"/>
      <w:position w:val="12"/>
      <w:sz w:val="4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heading5">
    <w:name w:val="heading5"/>
    <w:basedOn w:val="Normal"/>
    <w:pPr>
      <w:ind w:right="-108"/>
    </w:pPr>
    <w:rPr>
      <w:rFonts w:ascii="Arial Narrow" w:hAnsi="Arial Narrow"/>
      <w:b/>
      <w:szCs w:val="20"/>
      <w:lang w:val="en-GB"/>
    </w:rPr>
  </w:style>
  <w:style w:type="paragraph" w:customStyle="1" w:styleId="CM41">
    <w:name w:val="CM41"/>
    <w:basedOn w:val="Normal"/>
    <w:next w:val="Normal"/>
    <w:pPr>
      <w:widowControl w:val="0"/>
      <w:autoSpaceDE w:val="0"/>
      <w:autoSpaceDN w:val="0"/>
      <w:adjustRightInd w:val="0"/>
      <w:spacing w:after="360"/>
    </w:pPr>
    <w:rPr>
      <w:lang w:eastAsia="en-AU"/>
    </w:rPr>
  </w:style>
  <w:style w:type="paragraph" w:styleId="BodyText">
    <w:name w:val="Body Text"/>
    <w:basedOn w:val="Normal"/>
    <w:semiHidden/>
    <w:pPr>
      <w:ind w:right="-1"/>
    </w:pPr>
    <w:rPr>
      <w:rFonts w:cs="Arial"/>
      <w:szCs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Secondbullet">
    <w:name w:val="Second bullet"/>
    <w:basedOn w:val="Normal"/>
    <w:rsid w:val="00707086"/>
    <w:pPr>
      <w:numPr>
        <w:numId w:val="2"/>
      </w:numPr>
    </w:pPr>
  </w:style>
  <w:style w:type="character" w:styleId="UnresolvedMention">
    <w:name w:val="Unresolved Mention"/>
    <w:uiPriority w:val="99"/>
    <w:semiHidden/>
    <w:unhideWhenUsed/>
    <w:rsid w:val="00187D68"/>
    <w:rPr>
      <w:color w:val="605E5C"/>
      <w:shd w:val="clear" w:color="auto" w:fill="E1DFDD"/>
    </w:rPr>
  </w:style>
  <w:style w:type="paragraph" w:customStyle="1" w:styleId="Default">
    <w:name w:val="Default"/>
    <w:rsid w:val="00B23503"/>
    <w:pPr>
      <w:autoSpaceDE w:val="0"/>
      <w:autoSpaceDN w:val="0"/>
      <w:adjustRightInd w:val="0"/>
    </w:pPr>
    <w:rPr>
      <w:rFonts w:ascii="Arial" w:hAnsi="Arial" w:cs="Arial"/>
      <w:color w:val="000000"/>
      <w:sz w:val="24"/>
      <w:szCs w:val="24"/>
    </w:rPr>
  </w:style>
  <w:style w:type="paragraph" w:customStyle="1" w:styleId="Bulletlistmultilevel">
    <w:name w:val="Bullet list multilevel"/>
    <w:basedOn w:val="Normal"/>
    <w:uiPriority w:val="1"/>
    <w:qFormat/>
    <w:rsid w:val="00FB7568"/>
    <w:pPr>
      <w:numPr>
        <w:numId w:val="4"/>
      </w:numPr>
    </w:pPr>
    <w:rPr>
      <w:rFonts w:ascii="Franklin Gothic Book" w:hAnsi="Franklin Gothic Book"/>
      <w:sz w:val="22"/>
      <w:szCs w:val="22"/>
      <w:lang w:eastAsia="en-AU"/>
    </w:rPr>
  </w:style>
  <w:style w:type="paragraph" w:customStyle="1" w:styleId="Bulletlevel2CSC">
    <w:name w:val="Bullet level 2 CSC"/>
    <w:basedOn w:val="Normal"/>
    <w:semiHidden/>
    <w:qFormat/>
    <w:rsid w:val="00FB7568"/>
    <w:pPr>
      <w:numPr>
        <w:ilvl w:val="1"/>
        <w:numId w:val="4"/>
      </w:numPr>
      <w:spacing w:after="60"/>
    </w:pPr>
    <w:rPr>
      <w:rFonts w:ascii="Franklin Gothic Book" w:hAnsi="Franklin Gothic Book"/>
      <w:sz w:val="22"/>
      <w:szCs w:val="22"/>
      <w:lang w:eastAsia="en-AU"/>
    </w:rPr>
  </w:style>
  <w:style w:type="paragraph" w:customStyle="1" w:styleId="Bulletlevel3CSC">
    <w:name w:val="Bullet level 3 CSC"/>
    <w:basedOn w:val="Normal"/>
    <w:semiHidden/>
    <w:qFormat/>
    <w:rsid w:val="00FB7568"/>
    <w:pPr>
      <w:numPr>
        <w:ilvl w:val="2"/>
        <w:numId w:val="4"/>
      </w:numPr>
      <w:spacing w:after="60"/>
    </w:pPr>
    <w:rPr>
      <w:rFonts w:ascii="Franklin Gothic Book" w:hAnsi="Franklin Gothic Book"/>
      <w:sz w:val="22"/>
      <w:szCs w:val="22"/>
      <w:lang w:eastAsia="en-AU"/>
    </w:rPr>
  </w:style>
  <w:style w:type="numbering" w:customStyle="1" w:styleId="CSCBulletlist">
    <w:name w:val="CSC Bullet list"/>
    <w:basedOn w:val="NoList"/>
    <w:uiPriority w:val="99"/>
    <w:rsid w:val="00FB7568"/>
    <w:pPr>
      <w:numPr>
        <w:numId w:val="4"/>
      </w:numPr>
    </w:pPr>
  </w:style>
  <w:style w:type="character" w:customStyle="1" w:styleId="Heading7Char">
    <w:name w:val="Heading 7 Char"/>
    <w:basedOn w:val="DefaultParagraphFont"/>
    <w:link w:val="Heading7"/>
    <w:semiHidden/>
    <w:rsid w:val="00FB7568"/>
    <w:rPr>
      <w:rFonts w:asciiTheme="majorHAnsi" w:eastAsiaTheme="majorEastAsia" w:hAnsiTheme="majorHAnsi" w:cstheme="majorBidi"/>
      <w:i/>
      <w:iCs/>
      <w:color w:val="1F4D78" w:themeColor="accent1" w:themeShade="7F"/>
      <w:sz w:val="24"/>
      <w:szCs w:val="24"/>
      <w:lang w:eastAsia="en-US"/>
    </w:rPr>
  </w:style>
  <w:style w:type="paragraph" w:customStyle="1" w:styleId="Numberedlistmultilevel">
    <w:name w:val="Numbered list multilevel"/>
    <w:basedOn w:val="Normal"/>
    <w:uiPriority w:val="1"/>
    <w:qFormat/>
    <w:rsid w:val="00FB7568"/>
    <w:pPr>
      <w:numPr>
        <w:numId w:val="5"/>
      </w:numPr>
    </w:pPr>
    <w:rPr>
      <w:rFonts w:ascii="Franklin Gothic Book" w:hAnsi="Franklin Gothic Book"/>
      <w:sz w:val="22"/>
      <w:szCs w:val="22"/>
      <w:lang w:eastAsia="en-AU"/>
    </w:rPr>
  </w:style>
  <w:style w:type="character" w:styleId="FootnoteReference">
    <w:name w:val="footnote reference"/>
    <w:basedOn w:val="DefaultParagraphFont"/>
    <w:uiPriority w:val="8"/>
    <w:qFormat/>
    <w:rsid w:val="00FB7568"/>
    <w:rPr>
      <w:rFonts w:ascii="Franklin Gothic Book" w:hAnsi="Franklin Gothic Book"/>
      <w:sz w:val="20"/>
      <w:vertAlign w:val="superscript"/>
    </w:rPr>
  </w:style>
  <w:style w:type="paragraph" w:styleId="FootnoteText">
    <w:name w:val="footnote text"/>
    <w:basedOn w:val="Normal"/>
    <w:link w:val="FootnoteTextChar"/>
    <w:uiPriority w:val="8"/>
    <w:qFormat/>
    <w:rsid w:val="00FB7568"/>
    <w:pPr>
      <w:autoSpaceDE w:val="0"/>
      <w:autoSpaceDN w:val="0"/>
      <w:adjustRightInd w:val="0"/>
    </w:pPr>
    <w:rPr>
      <w:rFonts w:ascii="Franklin Gothic Book" w:hAnsi="Franklin Gothic Book"/>
      <w:color w:val="000000"/>
      <w:sz w:val="18"/>
      <w:szCs w:val="20"/>
      <w:lang w:eastAsia="en-AU"/>
    </w:rPr>
  </w:style>
  <w:style w:type="character" w:customStyle="1" w:styleId="FootnoteTextChar">
    <w:name w:val="Footnote Text Char"/>
    <w:basedOn w:val="DefaultParagraphFont"/>
    <w:link w:val="FootnoteText"/>
    <w:uiPriority w:val="8"/>
    <w:rsid w:val="00FB7568"/>
    <w:rPr>
      <w:rFonts w:ascii="Franklin Gothic Book" w:hAnsi="Franklin Gothic Book"/>
      <w:color w:val="000000"/>
      <w:sz w:val="18"/>
    </w:rPr>
  </w:style>
  <w:style w:type="paragraph" w:customStyle="1" w:styleId="Numberlevel2CSC">
    <w:name w:val="Number level 2 CSC"/>
    <w:basedOn w:val="Normal"/>
    <w:semiHidden/>
    <w:qFormat/>
    <w:rsid w:val="00FB7568"/>
    <w:pPr>
      <w:numPr>
        <w:ilvl w:val="1"/>
        <w:numId w:val="5"/>
      </w:numPr>
      <w:spacing w:after="60"/>
    </w:pPr>
    <w:rPr>
      <w:rFonts w:ascii="Franklin Gothic Book" w:hAnsi="Franklin Gothic Book"/>
      <w:sz w:val="22"/>
      <w:szCs w:val="22"/>
      <w:lang w:eastAsia="en-AU"/>
    </w:rPr>
  </w:style>
  <w:style w:type="paragraph" w:customStyle="1" w:styleId="Numberlevel3CSC">
    <w:name w:val="Number level 3 CSC"/>
    <w:basedOn w:val="Normal"/>
    <w:semiHidden/>
    <w:qFormat/>
    <w:rsid w:val="00FB7568"/>
    <w:pPr>
      <w:numPr>
        <w:ilvl w:val="2"/>
        <w:numId w:val="5"/>
      </w:numPr>
      <w:spacing w:after="60"/>
    </w:pPr>
    <w:rPr>
      <w:rFonts w:ascii="Franklin Gothic Book" w:hAnsi="Franklin Gothic Book"/>
      <w:sz w:val="22"/>
      <w:szCs w:val="22"/>
      <w:lang w:eastAsia="en-AU"/>
    </w:rPr>
  </w:style>
  <w:style w:type="numbering" w:customStyle="1" w:styleId="CSCMultilevelnumberedlist">
    <w:name w:val="CSC Multilevel numbered list"/>
    <w:uiPriority w:val="99"/>
    <w:rsid w:val="00FB7568"/>
    <w:pPr>
      <w:numPr>
        <w:numId w:val="5"/>
      </w:numPr>
    </w:pPr>
  </w:style>
  <w:style w:type="paragraph" w:customStyle="1" w:styleId="Numberlevel4CSC">
    <w:name w:val="Number level 4 CSC"/>
    <w:basedOn w:val="Normal"/>
    <w:semiHidden/>
    <w:qFormat/>
    <w:rsid w:val="00FB7568"/>
    <w:pPr>
      <w:numPr>
        <w:ilvl w:val="3"/>
        <w:numId w:val="5"/>
      </w:numPr>
      <w:spacing w:after="60"/>
    </w:pPr>
    <w:rPr>
      <w:rFonts w:ascii="Franklin Gothic Book" w:hAnsi="Franklin Gothic Book"/>
      <w:sz w:val="22"/>
      <w:szCs w:val="22"/>
      <w:lang w:eastAsia="en-AU"/>
    </w:rPr>
  </w:style>
  <w:style w:type="paragraph" w:customStyle="1" w:styleId="ExplanatoryNotes">
    <w:name w:val="Explanatory Notes"/>
    <w:basedOn w:val="Normal"/>
    <w:link w:val="ExplanatoryNotesChar"/>
    <w:rsid w:val="002C0404"/>
    <w:pPr>
      <w:widowControl w:val="0"/>
      <w:tabs>
        <w:tab w:val="left" w:pos="709"/>
      </w:tabs>
      <w:autoSpaceDE w:val="0"/>
      <w:autoSpaceDN w:val="0"/>
      <w:adjustRightInd w:val="0"/>
      <w:spacing w:before="120" w:after="120"/>
    </w:pPr>
    <w:rPr>
      <w:rFonts w:cs="Arial"/>
      <w:sz w:val="16"/>
      <w:szCs w:val="20"/>
      <w:lang w:val="en-US"/>
    </w:rPr>
  </w:style>
  <w:style w:type="character" w:customStyle="1" w:styleId="ExplanatoryNotesChar">
    <w:name w:val="Explanatory Notes Char"/>
    <w:basedOn w:val="DefaultParagraphFont"/>
    <w:link w:val="ExplanatoryNotes"/>
    <w:rsid w:val="002C0404"/>
    <w:rPr>
      <w:rFonts w:ascii="Arial" w:hAnsi="Arial" w:cs="Arial"/>
      <w:sz w:val="16"/>
      <w:lang w:val="en-US" w:eastAsia="en-US"/>
    </w:rPr>
  </w:style>
  <w:style w:type="character" w:customStyle="1" w:styleId="Heading3Char">
    <w:name w:val="Heading 3 Char"/>
    <w:basedOn w:val="DefaultParagraphFont"/>
    <w:link w:val="Heading3"/>
    <w:uiPriority w:val="9"/>
    <w:semiHidden/>
    <w:rsid w:val="002C0404"/>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rsid w:val="002C0404"/>
    <w:rPr>
      <w:rFonts w:asciiTheme="majorHAnsi" w:eastAsiaTheme="majorEastAsia" w:hAnsiTheme="majorHAnsi" w:cstheme="majorBidi"/>
      <w:i/>
      <w:iCs/>
      <w:color w:val="2E74B5" w:themeColor="accent1" w:themeShade="BF"/>
      <w:sz w:val="24"/>
      <w:szCs w:val="24"/>
      <w:lang w:eastAsia="en-US"/>
    </w:rPr>
  </w:style>
  <w:style w:type="table" w:styleId="TableGrid">
    <w:name w:val="Table Grid"/>
    <w:basedOn w:val="TableNormal"/>
    <w:rsid w:val="002C0404"/>
    <w:rPr>
      <w:rFonts w:ascii="Franklin Gothic Book" w:hAnsi="Franklin Gothic Book"/>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styleId="FollowedHyperlink">
    <w:name w:val="FollowedHyperlink"/>
    <w:basedOn w:val="DefaultParagraphFont"/>
    <w:uiPriority w:val="99"/>
    <w:semiHidden/>
    <w:unhideWhenUsed/>
    <w:rsid w:val="00725934"/>
    <w:rPr>
      <w:color w:val="954F72" w:themeColor="followedHyperlink"/>
      <w:u w:val="single"/>
    </w:rPr>
  </w:style>
  <w:style w:type="paragraph" w:styleId="ListParagraph">
    <w:name w:val="List Paragraph"/>
    <w:basedOn w:val="Normal"/>
    <w:uiPriority w:val="34"/>
    <w:qFormat/>
    <w:rsid w:val="005428B8"/>
    <w:pPr>
      <w:ind w:left="720"/>
      <w:contextualSpacing/>
    </w:pPr>
  </w:style>
  <w:style w:type="character" w:styleId="CommentReference">
    <w:name w:val="annotation reference"/>
    <w:basedOn w:val="DefaultParagraphFont"/>
    <w:uiPriority w:val="99"/>
    <w:semiHidden/>
    <w:unhideWhenUsed/>
    <w:rsid w:val="00CB0BCB"/>
    <w:rPr>
      <w:sz w:val="16"/>
      <w:szCs w:val="16"/>
    </w:rPr>
  </w:style>
  <w:style w:type="paragraph" w:styleId="CommentText">
    <w:name w:val="annotation text"/>
    <w:basedOn w:val="Normal"/>
    <w:link w:val="CommentTextChar"/>
    <w:uiPriority w:val="99"/>
    <w:semiHidden/>
    <w:unhideWhenUsed/>
    <w:rsid w:val="00CB0BCB"/>
    <w:rPr>
      <w:sz w:val="20"/>
      <w:szCs w:val="20"/>
    </w:rPr>
  </w:style>
  <w:style w:type="character" w:customStyle="1" w:styleId="CommentTextChar">
    <w:name w:val="Comment Text Char"/>
    <w:basedOn w:val="DefaultParagraphFont"/>
    <w:link w:val="CommentText"/>
    <w:uiPriority w:val="99"/>
    <w:semiHidden/>
    <w:rsid w:val="00CB0BC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B0BCB"/>
    <w:rPr>
      <w:b/>
      <w:bCs/>
    </w:rPr>
  </w:style>
  <w:style w:type="character" w:customStyle="1" w:styleId="CommentSubjectChar">
    <w:name w:val="Comment Subject Char"/>
    <w:basedOn w:val="CommentTextChar"/>
    <w:link w:val="CommentSubject"/>
    <w:uiPriority w:val="99"/>
    <w:semiHidden/>
    <w:rsid w:val="00CB0BCB"/>
    <w:rPr>
      <w:rFonts w:ascii="Arial" w:hAnsi="Arial"/>
      <w:b/>
      <w:bCs/>
      <w:lang w:eastAsia="en-US"/>
    </w:rPr>
  </w:style>
  <w:style w:type="paragraph" w:styleId="BodyTextIndent2">
    <w:name w:val="Body Text Indent 2"/>
    <w:basedOn w:val="Normal"/>
    <w:link w:val="BodyTextIndent2Char"/>
    <w:uiPriority w:val="99"/>
    <w:unhideWhenUsed/>
    <w:rsid w:val="00700BA3"/>
    <w:pPr>
      <w:spacing w:after="120" w:line="480" w:lineRule="auto"/>
      <w:ind w:left="283"/>
    </w:pPr>
  </w:style>
  <w:style w:type="character" w:customStyle="1" w:styleId="BodyTextIndent2Char">
    <w:name w:val="Body Text Indent 2 Char"/>
    <w:basedOn w:val="DefaultParagraphFont"/>
    <w:link w:val="BodyTextIndent2"/>
    <w:uiPriority w:val="99"/>
    <w:rsid w:val="00700BA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72024">
      <w:bodyDiv w:val="1"/>
      <w:marLeft w:val="0"/>
      <w:marRight w:val="0"/>
      <w:marTop w:val="0"/>
      <w:marBottom w:val="0"/>
      <w:divBdr>
        <w:top w:val="none" w:sz="0" w:space="0" w:color="auto"/>
        <w:left w:val="none" w:sz="0" w:space="0" w:color="auto"/>
        <w:bottom w:val="none" w:sz="0" w:space="0" w:color="auto"/>
        <w:right w:val="none" w:sz="0" w:space="0" w:color="auto"/>
      </w:divBdr>
    </w:div>
    <w:div w:id="10628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ayside.vic.gov.au/our-community/environment-and-sustainability/sustainable-desig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cquia-prod.bayside.vic.gov.au/sites/default/files/2021-08/climate_emergency_action_plan_2020-2025.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ustlii.edu.au/au/legis/vic/hist_act/sa1989233.pdf" TargetMode="External"/><Relationship Id="rId25" Type="http://schemas.openxmlformats.org/officeDocument/2006/relationships/hyperlink" Target="http://www.bayside.vic.gov.au" TargetMode="External"/><Relationship Id="rId2" Type="http://schemas.openxmlformats.org/officeDocument/2006/relationships/numbering" Target="numbering.xml"/><Relationship Id="rId16" Type="http://schemas.openxmlformats.org/officeDocument/2006/relationships/hyperlink" Target="http://www5.austlii.edu.au/au/legis/vic/consol_act/paea1987254/" TargetMode="External"/><Relationship Id="rId20" Type="http://schemas.openxmlformats.org/officeDocument/2006/relationships/hyperlink" Target="https://www.bayside.vic.gov.au/sites/default/files/2021-08/community_and_stakeholder_engagement_policy_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vpsc.vic.gov.au/governance/board-obligations/ministerial-directions/" TargetMode="External"/><Relationship Id="rId5" Type="http://schemas.openxmlformats.org/officeDocument/2006/relationships/webSettings" Target="webSettings.xml"/><Relationship Id="rId15" Type="http://schemas.openxmlformats.org/officeDocument/2006/relationships/hyperlink" Target="https://www.legislation.vic.gov.au/in-force/acts/local-government-act-1989/158" TargetMode="External"/><Relationship Id="rId23" Type="http://schemas.openxmlformats.org/officeDocument/2006/relationships/hyperlink" Target="https://intranet.bayside.vic.gov.au/purchasing-and-finance/budgets-and-forecasting/the-budget-process?retain=true&amp;RefineValues=&amp;RefinePeople=Yamile%20Monsalve" TargetMode="External"/><Relationship Id="rId10" Type="http://schemas.openxmlformats.org/officeDocument/2006/relationships/footer" Target="footer1.xml"/><Relationship Id="rId19" Type="http://schemas.openxmlformats.org/officeDocument/2006/relationships/hyperlink" Target="https://www.bayside.vic.gov.au/sites/default/files/2022-03/Procurement%20Policy%20adopted%2021%20December%202021_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side.vic.gov.au/sites/default/files/2021-10/doc_21_228798_rates_financial_hardship_policy_2021_0_0.pdf" TargetMode="External"/><Relationship Id="rId22" Type="http://schemas.openxmlformats.org/officeDocument/2006/relationships/hyperlink" Target="https://www.bayside.vic.gov.au/sites/default/files/2021-08/environmental_sustainability_framework_2016-2025_0.pdf"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75FBA-C365-48D6-B008-D910CE14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3839</Words>
  <Characters>20506</Characters>
  <Application>Microsoft Office Word</Application>
  <DocSecurity>0</DocSecurity>
  <Lines>445</Lines>
  <Paragraphs>221</Paragraphs>
  <ScaleCrop>false</ScaleCrop>
  <HeadingPairs>
    <vt:vector size="2" baseType="variant">
      <vt:variant>
        <vt:lpstr>Title</vt:lpstr>
      </vt:variant>
      <vt:variant>
        <vt:i4>1</vt:i4>
      </vt:variant>
    </vt:vector>
  </HeadingPairs>
  <TitlesOfParts>
    <vt:vector size="1" baseType="lpstr">
      <vt:lpstr>Intro text (Arial 13pts) Lorem ipsum dolor sit amet, consectetuer adipiscing elit, sed diam nonummy nibh euismod tincidunt ut l</vt:lpstr>
    </vt:vector>
  </TitlesOfParts>
  <Company>Struck and Spink</Company>
  <LinksUpToDate>false</LinksUpToDate>
  <CharactersWithSpaces>24124</CharactersWithSpaces>
  <SharedDoc>false</SharedDoc>
  <HLinks>
    <vt:vector size="6" baseType="variant">
      <vt:variant>
        <vt:i4>7733371</vt:i4>
      </vt:variant>
      <vt:variant>
        <vt:i4>0</vt:i4>
      </vt:variant>
      <vt:variant>
        <vt:i4>0</vt:i4>
      </vt:variant>
      <vt:variant>
        <vt:i4>5</vt:i4>
      </vt:variant>
      <vt:variant>
        <vt:lpwstr>http://www.bayside.vic.gov.au/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 (Arial 13pts) Lorem ipsum dolor sit amet, consectetuer adipiscing elit, sed diam nonummy nibh euismod tincidunt ut l</dc:title>
  <dc:subject/>
  <dc:creator>pbranton</dc:creator>
  <cp:keywords/>
  <cp:lastModifiedBy>Katerina Kaldellis</cp:lastModifiedBy>
  <cp:revision>7</cp:revision>
  <cp:lastPrinted>2022-03-18T05:09:00Z</cp:lastPrinted>
  <dcterms:created xsi:type="dcterms:W3CDTF">2022-05-24T03:18:00Z</dcterms:created>
  <dcterms:modified xsi:type="dcterms:W3CDTF">2022-07-28T01:02:00Z</dcterms:modified>
</cp:coreProperties>
</file>