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9D61" w14:textId="5C2C1AE8" w:rsidR="00456F2C" w:rsidRDefault="00237043" w:rsidP="00AF6944">
      <w:pPr>
        <w:rPr>
          <w:noProof/>
          <w:sz w:val="22"/>
        </w:rPr>
      </w:pPr>
      <w:r>
        <w:rPr>
          <w:noProof/>
        </w:rPr>
        <w:drawing>
          <wp:anchor distT="0" distB="0" distL="114300" distR="114300" simplePos="0" relativeHeight="251662336" behindDoc="0" locked="0" layoutInCell="1" allowOverlap="1" wp14:anchorId="2B30D6D5" wp14:editId="7E2DAB12">
            <wp:simplePos x="0" y="0"/>
            <wp:positionH relativeFrom="margin">
              <wp:align>center</wp:align>
            </wp:positionH>
            <wp:positionV relativeFrom="paragraph">
              <wp:posOffset>3962400</wp:posOffset>
            </wp:positionV>
            <wp:extent cx="6363335" cy="4794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3335" cy="479425"/>
                    </a:xfrm>
                    <a:prstGeom prst="rect">
                      <a:avLst/>
                    </a:prstGeom>
                  </pic:spPr>
                </pic:pic>
              </a:graphicData>
            </a:graphic>
            <wp14:sizeRelH relativeFrom="margin">
              <wp14:pctWidth>0</wp14:pctWidth>
            </wp14:sizeRelH>
          </wp:anchor>
        </w:drawing>
      </w:r>
    </w:p>
    <w:p w14:paraId="02D4E5AB" w14:textId="6288960E" w:rsidR="00474040" w:rsidRDefault="00474040" w:rsidP="00474040">
      <w:pPr>
        <w:pStyle w:val="NormalWeb"/>
      </w:pPr>
      <w:r>
        <w:rPr>
          <w:noProof/>
        </w:rPr>
        <w:drawing>
          <wp:anchor distT="0" distB="0" distL="114300" distR="114300" simplePos="0" relativeHeight="251661312" behindDoc="0" locked="0" layoutInCell="1" allowOverlap="1" wp14:anchorId="1743104C" wp14:editId="71D90A86">
            <wp:simplePos x="0" y="0"/>
            <wp:positionH relativeFrom="column">
              <wp:posOffset>0</wp:posOffset>
            </wp:positionH>
            <wp:positionV relativeFrom="paragraph">
              <wp:posOffset>53340</wp:posOffset>
            </wp:positionV>
            <wp:extent cx="5731510" cy="3820795"/>
            <wp:effectExtent l="0" t="0" r="2540" b="8255"/>
            <wp:wrapSquare wrapText="bothSides"/>
            <wp:docPr id="1214279979" name="Picture 2" descr="A black brick wall with a cow and a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279979" name="Picture 2" descr="A black brick wall with a cow and a carto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anchor>
        </w:drawing>
      </w:r>
    </w:p>
    <w:p w14:paraId="4C3FA588" w14:textId="58D2CA59" w:rsidR="00474040" w:rsidRDefault="00474040" w:rsidP="00474040">
      <w:pPr>
        <w:pStyle w:val="NormalWeb"/>
      </w:pPr>
    </w:p>
    <w:p w14:paraId="59DA18AB" w14:textId="44B1EEC5" w:rsidR="00C47B1A" w:rsidRPr="0049320F" w:rsidRDefault="00C47B1A" w:rsidP="00C47B1A">
      <w:pPr>
        <w:rPr>
          <w:b/>
          <w:bCs/>
          <w:color w:val="0070C0"/>
          <w:sz w:val="60"/>
          <w:szCs w:val="60"/>
        </w:rPr>
      </w:pPr>
      <w:r w:rsidRPr="0049320F">
        <w:rPr>
          <w:b/>
          <w:bCs/>
          <w:color w:val="0070C0"/>
          <w:sz w:val="60"/>
          <w:szCs w:val="60"/>
        </w:rPr>
        <w:t>Placemaking Action Plan Engagement Report</w:t>
      </w:r>
    </w:p>
    <w:p w14:paraId="059B4770" w14:textId="77777777" w:rsidR="00C47B1A" w:rsidRPr="0049320F" w:rsidRDefault="00C47B1A" w:rsidP="00474040">
      <w:pPr>
        <w:pStyle w:val="NormalWeb"/>
        <w:rPr>
          <w:color w:val="0070C0"/>
        </w:rPr>
      </w:pPr>
    </w:p>
    <w:p w14:paraId="1357B193" w14:textId="77777777" w:rsidR="00B20390" w:rsidRDefault="00B20390" w:rsidP="00AF6944">
      <w:pPr>
        <w:rPr>
          <w:b/>
          <w:bCs/>
          <w:noProof/>
          <w:color w:val="0070C0"/>
          <w:sz w:val="32"/>
          <w:szCs w:val="32"/>
        </w:rPr>
      </w:pPr>
    </w:p>
    <w:p w14:paraId="71EA9400" w14:textId="77777777" w:rsidR="00B20390" w:rsidRDefault="00B20390" w:rsidP="00AF6944">
      <w:pPr>
        <w:rPr>
          <w:b/>
          <w:bCs/>
          <w:noProof/>
          <w:color w:val="0070C0"/>
          <w:sz w:val="32"/>
          <w:szCs w:val="32"/>
        </w:rPr>
      </w:pPr>
    </w:p>
    <w:p w14:paraId="6A1D269A" w14:textId="77777777" w:rsidR="00B20390" w:rsidRDefault="00B20390" w:rsidP="00AF6944">
      <w:pPr>
        <w:rPr>
          <w:b/>
          <w:bCs/>
          <w:noProof/>
          <w:color w:val="0070C0"/>
          <w:sz w:val="32"/>
          <w:szCs w:val="32"/>
        </w:rPr>
      </w:pPr>
    </w:p>
    <w:p w14:paraId="1E7BA377" w14:textId="77777777" w:rsidR="005C2860" w:rsidRDefault="005C2860" w:rsidP="00AF6944">
      <w:pPr>
        <w:rPr>
          <w:b/>
          <w:bCs/>
          <w:noProof/>
          <w:color w:val="0070C0"/>
          <w:sz w:val="32"/>
          <w:szCs w:val="32"/>
        </w:rPr>
      </w:pPr>
    </w:p>
    <w:p w14:paraId="0075D03C" w14:textId="77777777" w:rsidR="00B20390" w:rsidRPr="0049320F" w:rsidRDefault="00B20390" w:rsidP="00AF6944">
      <w:pPr>
        <w:rPr>
          <w:b/>
          <w:bCs/>
          <w:noProof/>
          <w:color w:val="0070C0"/>
          <w:sz w:val="32"/>
          <w:szCs w:val="32"/>
        </w:rPr>
      </w:pPr>
    </w:p>
    <w:p w14:paraId="2CE2A58D" w14:textId="0F4DA2BA" w:rsidR="005C2860" w:rsidRPr="002F6851" w:rsidRDefault="005B0803" w:rsidP="00AF6944">
      <w:pPr>
        <w:rPr>
          <w:color w:val="0070C0"/>
          <w:sz w:val="32"/>
          <w:szCs w:val="32"/>
        </w:rPr>
      </w:pPr>
      <w:r w:rsidRPr="0049320F">
        <w:rPr>
          <w:color w:val="0070C0"/>
          <w:sz w:val="32"/>
          <w:szCs w:val="32"/>
        </w:rPr>
        <w:t>January 2024</w:t>
      </w:r>
    </w:p>
    <w:p w14:paraId="417C8FA6" w14:textId="7862FB50" w:rsidR="00456F2C" w:rsidRPr="00B5258A" w:rsidRDefault="008E20C5" w:rsidP="00AF6944">
      <w:pPr>
        <w:spacing w:after="0" w:line="240" w:lineRule="auto"/>
        <w:rPr>
          <w:sz w:val="22"/>
        </w:rPr>
      </w:pPr>
      <w:r w:rsidRPr="00B5258A">
        <w:rPr>
          <w:noProof/>
          <w:sz w:val="22"/>
          <w:lang w:eastAsia="en-AU"/>
        </w:rPr>
        <w:drawing>
          <wp:anchor distT="0" distB="0" distL="114300" distR="114300" simplePos="0" relativeHeight="251658240" behindDoc="0" locked="0" layoutInCell="1" allowOverlap="1" wp14:anchorId="573011C0" wp14:editId="6A25D4C1">
            <wp:simplePos x="0" y="0"/>
            <wp:positionH relativeFrom="column">
              <wp:posOffset>3458860</wp:posOffset>
            </wp:positionH>
            <wp:positionV relativeFrom="paragraph">
              <wp:posOffset>12744</wp:posOffset>
            </wp:positionV>
            <wp:extent cx="2365625" cy="75674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0">
                      <a:extLst>
                        <a:ext uri="{28A0092B-C50C-407E-A947-70E740481C1C}">
                          <a14:useLocalDpi xmlns:a14="http://schemas.microsoft.com/office/drawing/2010/main" val="0"/>
                        </a:ext>
                      </a:extLst>
                    </a:blip>
                    <a:stretch>
                      <a:fillRect/>
                    </a:stretch>
                  </pic:blipFill>
                  <pic:spPr>
                    <a:xfrm>
                      <a:off x="0" y="0"/>
                      <a:ext cx="2365625" cy="756745"/>
                    </a:xfrm>
                    <a:prstGeom prst="rect">
                      <a:avLst/>
                    </a:prstGeom>
                  </pic:spPr>
                </pic:pic>
              </a:graphicData>
            </a:graphic>
            <wp14:sizeRelH relativeFrom="page">
              <wp14:pctWidth>0</wp14:pctWidth>
            </wp14:sizeRelH>
            <wp14:sizeRelV relativeFrom="page">
              <wp14:pctHeight>0</wp14:pctHeight>
            </wp14:sizeRelV>
          </wp:anchor>
        </w:drawing>
      </w:r>
    </w:p>
    <w:p w14:paraId="24F38AF9" w14:textId="11E03860" w:rsidR="00456F2C" w:rsidRPr="00B5258A" w:rsidRDefault="00F10FEA" w:rsidP="00D424E5">
      <w:pPr>
        <w:pStyle w:val="Heading1"/>
        <w:rPr>
          <w:sz w:val="28"/>
        </w:rPr>
      </w:pPr>
      <w:bookmarkStart w:id="0" w:name="_Toc500947185"/>
      <w:r w:rsidRPr="00B5258A">
        <w:rPr>
          <w:sz w:val="28"/>
        </w:rPr>
        <w:lastRenderedPageBreak/>
        <w:t>Background</w:t>
      </w:r>
      <w:bookmarkEnd w:id="0"/>
    </w:p>
    <w:p w14:paraId="2B783252" w14:textId="77777777" w:rsidR="001D3DD5" w:rsidRDefault="001D3DD5" w:rsidP="00265CFA">
      <w:pPr>
        <w:rPr>
          <w:sz w:val="22"/>
        </w:rPr>
      </w:pPr>
    </w:p>
    <w:p w14:paraId="12533F0E" w14:textId="22A2328D" w:rsidR="002F6851" w:rsidRDefault="00361602" w:rsidP="002F6851">
      <w:pPr>
        <w:jc w:val="both"/>
        <w:rPr>
          <w:rFonts w:ascii="Arial" w:hAnsi="Arial" w:cs="Arial"/>
          <w:sz w:val="22"/>
          <w:szCs w:val="22"/>
        </w:rPr>
      </w:pPr>
      <w:r w:rsidRPr="0080514E">
        <w:rPr>
          <w:rFonts w:ascii="Arial" w:hAnsi="Arial" w:cs="Arial"/>
          <w:sz w:val="22"/>
          <w:szCs w:val="22"/>
        </w:rPr>
        <w:t>Bayside</w:t>
      </w:r>
      <w:r w:rsidR="005C2860">
        <w:rPr>
          <w:rFonts w:ascii="Arial" w:hAnsi="Arial" w:cs="Arial"/>
          <w:sz w:val="22"/>
          <w:szCs w:val="22"/>
        </w:rPr>
        <w:t xml:space="preserve"> City Council</w:t>
      </w:r>
      <w:r w:rsidRPr="0080514E">
        <w:rPr>
          <w:rFonts w:ascii="Arial" w:hAnsi="Arial" w:cs="Arial"/>
          <w:sz w:val="22"/>
          <w:szCs w:val="22"/>
        </w:rPr>
        <w:t xml:space="preserve"> is developing a </w:t>
      </w:r>
      <w:r w:rsidR="005C2860">
        <w:rPr>
          <w:rFonts w:ascii="Arial" w:hAnsi="Arial" w:cs="Arial"/>
          <w:sz w:val="22"/>
          <w:szCs w:val="22"/>
        </w:rPr>
        <w:t xml:space="preserve">five-year </w:t>
      </w:r>
      <w:r w:rsidRPr="0080514E">
        <w:rPr>
          <w:rFonts w:ascii="Arial" w:hAnsi="Arial" w:cs="Arial"/>
          <w:sz w:val="22"/>
          <w:szCs w:val="22"/>
        </w:rPr>
        <w:t xml:space="preserve">placemaking action plan for </w:t>
      </w:r>
      <w:r w:rsidR="002F308B" w:rsidRPr="0080514E">
        <w:rPr>
          <w:rFonts w:ascii="Arial" w:hAnsi="Arial" w:cs="Arial"/>
          <w:sz w:val="22"/>
          <w:szCs w:val="22"/>
        </w:rPr>
        <w:t>seven</w:t>
      </w:r>
      <w:r w:rsidRPr="0080514E">
        <w:rPr>
          <w:rFonts w:ascii="Arial" w:hAnsi="Arial" w:cs="Arial"/>
          <w:sz w:val="22"/>
          <w:szCs w:val="22"/>
        </w:rPr>
        <w:t xml:space="preserve"> </w:t>
      </w:r>
      <w:r w:rsidR="00CA6A7B" w:rsidRPr="002F6851">
        <w:rPr>
          <w:rFonts w:ascii="Arial" w:hAnsi="Arial" w:cs="Arial"/>
          <w:sz w:val="22"/>
          <w:szCs w:val="22"/>
        </w:rPr>
        <w:t xml:space="preserve">Major and Large Neighbourhood </w:t>
      </w:r>
      <w:r w:rsidR="00611406">
        <w:rPr>
          <w:rFonts w:ascii="Arial" w:hAnsi="Arial" w:cs="Arial"/>
          <w:sz w:val="22"/>
          <w:szCs w:val="22"/>
        </w:rPr>
        <w:t xml:space="preserve">activity </w:t>
      </w:r>
      <w:r w:rsidRPr="0080514E">
        <w:rPr>
          <w:rFonts w:ascii="Arial" w:hAnsi="Arial" w:cs="Arial"/>
          <w:sz w:val="22"/>
          <w:szCs w:val="22"/>
        </w:rPr>
        <w:t>centres across the municipality.</w:t>
      </w:r>
      <w:r w:rsidR="00611406">
        <w:rPr>
          <w:rFonts w:ascii="Arial" w:hAnsi="Arial" w:cs="Arial"/>
          <w:sz w:val="22"/>
          <w:szCs w:val="22"/>
        </w:rPr>
        <w:t xml:space="preserve"> </w:t>
      </w:r>
      <w:r w:rsidR="002F6851" w:rsidRPr="0080514E">
        <w:rPr>
          <w:rFonts w:ascii="Arial" w:hAnsi="Arial" w:cs="Arial"/>
          <w:sz w:val="22"/>
          <w:szCs w:val="22"/>
        </w:rPr>
        <w:t xml:space="preserve">Placemaking </w:t>
      </w:r>
      <w:r w:rsidR="002F6851">
        <w:rPr>
          <w:rFonts w:ascii="Arial" w:hAnsi="Arial" w:cs="Arial"/>
          <w:sz w:val="22"/>
          <w:szCs w:val="22"/>
        </w:rPr>
        <w:t xml:space="preserve">can </w:t>
      </w:r>
      <w:r w:rsidR="002F6851" w:rsidRPr="0080514E">
        <w:rPr>
          <w:rFonts w:ascii="Arial" w:hAnsi="Arial" w:cs="Arial"/>
          <w:sz w:val="22"/>
          <w:szCs w:val="22"/>
        </w:rPr>
        <w:t xml:space="preserve">foster a sense of place </w:t>
      </w:r>
      <w:r w:rsidR="002F6851">
        <w:rPr>
          <w:rFonts w:ascii="Arial" w:hAnsi="Arial" w:cs="Arial"/>
          <w:sz w:val="22"/>
          <w:szCs w:val="22"/>
        </w:rPr>
        <w:t xml:space="preserve">and </w:t>
      </w:r>
      <w:r w:rsidR="002F6851" w:rsidRPr="0080514E">
        <w:rPr>
          <w:rFonts w:ascii="Arial" w:hAnsi="Arial" w:cs="Arial"/>
          <w:sz w:val="22"/>
          <w:szCs w:val="22"/>
        </w:rPr>
        <w:t>strengthen</w:t>
      </w:r>
      <w:r w:rsidR="002F6851">
        <w:rPr>
          <w:rFonts w:ascii="Arial" w:hAnsi="Arial" w:cs="Arial"/>
          <w:sz w:val="22"/>
          <w:szCs w:val="22"/>
        </w:rPr>
        <w:t xml:space="preserve"> its uniqueness and </w:t>
      </w:r>
      <w:r w:rsidR="002F6851" w:rsidRPr="0080514E">
        <w:rPr>
          <w:rFonts w:ascii="Arial" w:hAnsi="Arial" w:cs="Arial"/>
          <w:sz w:val="22"/>
          <w:szCs w:val="22"/>
        </w:rPr>
        <w:t>authenticity. In essence</w:t>
      </w:r>
      <w:r w:rsidR="002F6851">
        <w:rPr>
          <w:rFonts w:ascii="Arial" w:hAnsi="Arial" w:cs="Arial"/>
          <w:sz w:val="22"/>
          <w:szCs w:val="22"/>
        </w:rPr>
        <w:t>,</w:t>
      </w:r>
      <w:r w:rsidR="002F6851" w:rsidRPr="0080514E">
        <w:rPr>
          <w:rFonts w:ascii="Arial" w:hAnsi="Arial" w:cs="Arial"/>
          <w:sz w:val="22"/>
          <w:szCs w:val="22"/>
        </w:rPr>
        <w:t xml:space="preserve"> placemaking </w:t>
      </w:r>
      <w:r w:rsidR="002F6851">
        <w:rPr>
          <w:rFonts w:ascii="Arial" w:hAnsi="Arial" w:cs="Arial"/>
          <w:sz w:val="22"/>
          <w:szCs w:val="22"/>
        </w:rPr>
        <w:t xml:space="preserve">aims </w:t>
      </w:r>
      <w:r w:rsidR="002F6851" w:rsidRPr="0080514E">
        <w:rPr>
          <w:rFonts w:ascii="Arial" w:hAnsi="Arial" w:cs="Arial"/>
          <w:sz w:val="22"/>
          <w:szCs w:val="22"/>
        </w:rPr>
        <w:t>t</w:t>
      </w:r>
      <w:r w:rsidR="002F6851">
        <w:rPr>
          <w:rFonts w:ascii="Arial" w:hAnsi="Arial" w:cs="Arial"/>
          <w:sz w:val="22"/>
          <w:szCs w:val="22"/>
        </w:rPr>
        <w:t>o</w:t>
      </w:r>
      <w:r w:rsidR="002F6851" w:rsidRPr="0080514E">
        <w:rPr>
          <w:rFonts w:ascii="Arial" w:hAnsi="Arial" w:cs="Arial"/>
          <w:sz w:val="22"/>
          <w:szCs w:val="22"/>
        </w:rPr>
        <w:t xml:space="preserve"> improv</w:t>
      </w:r>
      <w:r w:rsidR="002F6851">
        <w:rPr>
          <w:rFonts w:ascii="Arial" w:hAnsi="Arial" w:cs="Arial"/>
          <w:sz w:val="22"/>
          <w:szCs w:val="22"/>
        </w:rPr>
        <w:t>e</w:t>
      </w:r>
      <w:r w:rsidR="002F6851" w:rsidRPr="0080514E">
        <w:rPr>
          <w:rFonts w:ascii="Arial" w:hAnsi="Arial" w:cs="Arial"/>
          <w:sz w:val="22"/>
          <w:szCs w:val="22"/>
        </w:rPr>
        <w:t xml:space="preserve"> public spaces and </w:t>
      </w:r>
      <w:r w:rsidR="002F6851">
        <w:rPr>
          <w:rFonts w:ascii="Arial" w:hAnsi="Arial" w:cs="Arial"/>
          <w:sz w:val="22"/>
          <w:szCs w:val="22"/>
        </w:rPr>
        <w:t>enrich the experience of</w:t>
      </w:r>
      <w:r w:rsidR="002F6851" w:rsidRPr="0080514E">
        <w:rPr>
          <w:rFonts w:ascii="Arial" w:hAnsi="Arial" w:cs="Arial"/>
          <w:sz w:val="22"/>
          <w:szCs w:val="22"/>
        </w:rPr>
        <w:t xml:space="preserve"> the people </w:t>
      </w:r>
      <w:r w:rsidR="002F6851">
        <w:rPr>
          <w:rFonts w:ascii="Arial" w:hAnsi="Arial" w:cs="Arial"/>
          <w:sz w:val="22"/>
          <w:szCs w:val="22"/>
        </w:rPr>
        <w:t xml:space="preserve">who </w:t>
      </w:r>
      <w:r w:rsidR="002F6851" w:rsidRPr="0080514E">
        <w:rPr>
          <w:rFonts w:ascii="Arial" w:hAnsi="Arial" w:cs="Arial"/>
          <w:sz w:val="22"/>
          <w:szCs w:val="22"/>
        </w:rPr>
        <w:t>us</w:t>
      </w:r>
      <w:r w:rsidR="002F6851">
        <w:rPr>
          <w:rFonts w:ascii="Arial" w:hAnsi="Arial" w:cs="Arial"/>
          <w:sz w:val="22"/>
          <w:szCs w:val="22"/>
        </w:rPr>
        <w:t>e</w:t>
      </w:r>
      <w:r w:rsidR="002F6851" w:rsidRPr="0080514E">
        <w:rPr>
          <w:rFonts w:ascii="Arial" w:hAnsi="Arial" w:cs="Arial"/>
          <w:sz w:val="22"/>
          <w:szCs w:val="22"/>
        </w:rPr>
        <w:t xml:space="preserve"> them.</w:t>
      </w:r>
    </w:p>
    <w:p w14:paraId="45DAB1E9" w14:textId="28B2B0D7" w:rsidR="00611406" w:rsidRPr="002F6851" w:rsidRDefault="00611406" w:rsidP="002F6851">
      <w:pPr>
        <w:jc w:val="both"/>
        <w:rPr>
          <w:rFonts w:ascii="Arial" w:hAnsi="Arial" w:cs="Arial"/>
          <w:sz w:val="22"/>
          <w:szCs w:val="22"/>
        </w:rPr>
      </w:pPr>
      <w:r w:rsidRPr="002F6851">
        <w:rPr>
          <w:rFonts w:ascii="Arial" w:hAnsi="Arial" w:cs="Arial"/>
          <w:sz w:val="22"/>
          <w:szCs w:val="22"/>
        </w:rPr>
        <w:t xml:space="preserve">The action plan will map out the strategic and phased delivery of placemaking </w:t>
      </w:r>
      <w:r w:rsidR="00CA6A7B">
        <w:rPr>
          <w:rFonts w:ascii="Arial" w:hAnsi="Arial" w:cs="Arial"/>
          <w:sz w:val="22"/>
          <w:szCs w:val="22"/>
        </w:rPr>
        <w:t>commencing with</w:t>
      </w:r>
      <w:r w:rsidR="002F6851" w:rsidRPr="002F6851">
        <w:rPr>
          <w:rFonts w:ascii="Arial" w:hAnsi="Arial" w:cs="Arial"/>
          <w:sz w:val="22"/>
          <w:szCs w:val="22"/>
        </w:rPr>
        <w:t xml:space="preserve"> </w:t>
      </w:r>
      <w:r w:rsidRPr="002F6851">
        <w:rPr>
          <w:rFonts w:ascii="Arial" w:hAnsi="Arial" w:cs="Arial"/>
          <w:sz w:val="22"/>
          <w:szCs w:val="22"/>
        </w:rPr>
        <w:t>Bay Street, Beaumaris Concourse, Black Rock Village, Church Street, Hampton Street, Martin Street, and Sandringham Village</w:t>
      </w:r>
      <w:r w:rsidR="002F6851" w:rsidRPr="002F6851">
        <w:rPr>
          <w:rFonts w:ascii="Arial" w:hAnsi="Arial" w:cs="Arial"/>
          <w:sz w:val="22"/>
          <w:szCs w:val="22"/>
        </w:rPr>
        <w:t>, and then the rollout of placemaking initiatives across all 40 plus smaller Activity Centres will follow.</w:t>
      </w:r>
      <w:r w:rsidR="00EA6EA0" w:rsidRPr="002F6851">
        <w:rPr>
          <w:rFonts w:ascii="Arial" w:hAnsi="Arial" w:cs="Arial"/>
          <w:sz w:val="22"/>
          <w:szCs w:val="22"/>
        </w:rPr>
        <w:t xml:space="preserve"> </w:t>
      </w:r>
    </w:p>
    <w:p w14:paraId="3D3453EF" w14:textId="53A579BD" w:rsidR="00DE4211" w:rsidRPr="0080514E" w:rsidRDefault="00361602" w:rsidP="00361602">
      <w:pPr>
        <w:jc w:val="both"/>
        <w:rPr>
          <w:rFonts w:ascii="Arial" w:hAnsi="Arial" w:cs="Arial"/>
          <w:sz w:val="22"/>
          <w:szCs w:val="22"/>
        </w:rPr>
      </w:pPr>
      <w:r w:rsidRPr="0080514E">
        <w:rPr>
          <w:rFonts w:ascii="Arial" w:hAnsi="Arial" w:cs="Arial"/>
          <w:sz w:val="22"/>
          <w:szCs w:val="22"/>
        </w:rPr>
        <w:t xml:space="preserve">The Action Plan will identify placemaking tools and ideas </w:t>
      </w:r>
      <w:r w:rsidR="00611406">
        <w:rPr>
          <w:rFonts w:ascii="Arial" w:hAnsi="Arial" w:cs="Arial"/>
          <w:sz w:val="22"/>
          <w:szCs w:val="22"/>
        </w:rPr>
        <w:t>to</w:t>
      </w:r>
      <w:r w:rsidRPr="0080514E">
        <w:rPr>
          <w:rFonts w:ascii="Arial" w:hAnsi="Arial" w:cs="Arial"/>
          <w:sz w:val="22"/>
          <w:szCs w:val="22"/>
        </w:rPr>
        <w:t xml:space="preserve"> contribute to community and social vibrancy, economic </w:t>
      </w:r>
      <w:r w:rsidR="00DE4211" w:rsidRPr="0080514E">
        <w:rPr>
          <w:rFonts w:ascii="Arial" w:hAnsi="Arial" w:cs="Arial"/>
          <w:sz w:val="22"/>
          <w:szCs w:val="22"/>
        </w:rPr>
        <w:t>vitality,</w:t>
      </w:r>
      <w:r w:rsidRPr="0080514E">
        <w:rPr>
          <w:rFonts w:ascii="Arial" w:hAnsi="Arial" w:cs="Arial"/>
          <w:sz w:val="22"/>
          <w:szCs w:val="22"/>
        </w:rPr>
        <w:t xml:space="preserve"> and a </w:t>
      </w:r>
      <w:r w:rsidR="00611406">
        <w:rPr>
          <w:rFonts w:ascii="Arial" w:hAnsi="Arial" w:cs="Arial"/>
          <w:sz w:val="22"/>
          <w:szCs w:val="22"/>
        </w:rPr>
        <w:t xml:space="preserve">localised </w:t>
      </w:r>
      <w:r w:rsidRPr="0080514E">
        <w:rPr>
          <w:rFonts w:ascii="Arial" w:hAnsi="Arial" w:cs="Arial"/>
          <w:sz w:val="22"/>
          <w:szCs w:val="22"/>
        </w:rPr>
        <w:t xml:space="preserve">sense of character </w:t>
      </w:r>
      <w:r w:rsidR="00611406">
        <w:rPr>
          <w:rFonts w:ascii="Arial" w:hAnsi="Arial" w:cs="Arial"/>
          <w:sz w:val="22"/>
          <w:szCs w:val="22"/>
        </w:rPr>
        <w:t>for</w:t>
      </w:r>
      <w:r w:rsidRPr="0080514E">
        <w:rPr>
          <w:rFonts w:ascii="Arial" w:hAnsi="Arial" w:cs="Arial"/>
          <w:sz w:val="22"/>
          <w:szCs w:val="22"/>
        </w:rPr>
        <w:t xml:space="preserve"> each centre. </w:t>
      </w:r>
    </w:p>
    <w:p w14:paraId="2E273F43" w14:textId="1A5A24D5" w:rsidR="00265CFA" w:rsidRPr="0080514E" w:rsidRDefault="00265CFA" w:rsidP="00361602">
      <w:pPr>
        <w:jc w:val="both"/>
        <w:rPr>
          <w:rFonts w:ascii="Arial" w:hAnsi="Arial" w:cs="Arial"/>
          <w:sz w:val="22"/>
          <w:szCs w:val="22"/>
        </w:rPr>
      </w:pPr>
      <w:r w:rsidRPr="0080514E">
        <w:rPr>
          <w:rFonts w:ascii="Arial" w:hAnsi="Arial" w:cs="Arial"/>
          <w:sz w:val="22"/>
          <w:szCs w:val="22"/>
        </w:rPr>
        <w:t xml:space="preserve">This </w:t>
      </w:r>
      <w:r w:rsidR="00611406">
        <w:rPr>
          <w:rFonts w:ascii="Arial" w:hAnsi="Arial" w:cs="Arial"/>
          <w:sz w:val="22"/>
          <w:szCs w:val="22"/>
        </w:rPr>
        <w:t>report</w:t>
      </w:r>
      <w:r w:rsidRPr="0080514E">
        <w:rPr>
          <w:rFonts w:ascii="Arial" w:hAnsi="Arial" w:cs="Arial"/>
          <w:sz w:val="22"/>
          <w:szCs w:val="22"/>
        </w:rPr>
        <w:t xml:space="preserve"> provides a summary of community feedback on </w:t>
      </w:r>
      <w:r w:rsidR="00D35AFD" w:rsidRPr="0080514E">
        <w:rPr>
          <w:rFonts w:ascii="Arial" w:hAnsi="Arial" w:cs="Arial"/>
          <w:sz w:val="22"/>
          <w:szCs w:val="22"/>
        </w:rPr>
        <w:t xml:space="preserve">the </w:t>
      </w:r>
      <w:r w:rsidR="0080514E" w:rsidRPr="002F6851">
        <w:rPr>
          <w:rFonts w:ascii="Arial" w:hAnsi="Arial" w:cs="Arial"/>
          <w:sz w:val="22"/>
          <w:szCs w:val="22"/>
        </w:rPr>
        <w:t>Place</w:t>
      </w:r>
      <w:r w:rsidR="00611406">
        <w:rPr>
          <w:rFonts w:ascii="Arial" w:hAnsi="Arial" w:cs="Arial"/>
          <w:sz w:val="22"/>
          <w:szCs w:val="22"/>
        </w:rPr>
        <w:t>m</w:t>
      </w:r>
      <w:r w:rsidR="0080514E" w:rsidRPr="002F6851">
        <w:rPr>
          <w:rFonts w:ascii="Arial" w:hAnsi="Arial" w:cs="Arial"/>
          <w:sz w:val="22"/>
          <w:szCs w:val="22"/>
        </w:rPr>
        <w:t>aking Action Plan</w:t>
      </w:r>
      <w:r w:rsidR="0080514E" w:rsidRPr="0080514E">
        <w:rPr>
          <w:rFonts w:ascii="Arial" w:hAnsi="Arial" w:cs="Arial"/>
          <w:sz w:val="22"/>
          <w:szCs w:val="22"/>
        </w:rPr>
        <w:t>, focus</w:t>
      </w:r>
      <w:r w:rsidR="00611406">
        <w:rPr>
          <w:rFonts w:ascii="Arial" w:hAnsi="Arial" w:cs="Arial"/>
          <w:sz w:val="22"/>
          <w:szCs w:val="22"/>
        </w:rPr>
        <w:t>ing</w:t>
      </w:r>
      <w:r w:rsidR="0080514E" w:rsidRPr="0080514E">
        <w:rPr>
          <w:rFonts w:ascii="Arial" w:hAnsi="Arial" w:cs="Arial"/>
          <w:sz w:val="22"/>
          <w:szCs w:val="22"/>
        </w:rPr>
        <w:t xml:space="preserve"> on </w:t>
      </w:r>
      <w:r w:rsidR="001D3DD5">
        <w:rPr>
          <w:rFonts w:ascii="Arial" w:hAnsi="Arial" w:cs="Arial"/>
          <w:sz w:val="22"/>
          <w:szCs w:val="22"/>
        </w:rPr>
        <w:t>ideas for</w:t>
      </w:r>
      <w:r w:rsidR="0080514E" w:rsidRPr="0080514E">
        <w:rPr>
          <w:rFonts w:ascii="Arial" w:hAnsi="Arial" w:cs="Arial"/>
          <w:sz w:val="22"/>
          <w:szCs w:val="22"/>
        </w:rPr>
        <w:t xml:space="preserve"> </w:t>
      </w:r>
      <w:r w:rsidR="00611406">
        <w:rPr>
          <w:rFonts w:ascii="Arial" w:hAnsi="Arial" w:cs="Arial"/>
          <w:sz w:val="22"/>
          <w:szCs w:val="22"/>
        </w:rPr>
        <w:t>suggested</w:t>
      </w:r>
      <w:r w:rsidR="0080514E" w:rsidRPr="0080514E">
        <w:rPr>
          <w:rFonts w:ascii="Arial" w:hAnsi="Arial" w:cs="Arial"/>
          <w:sz w:val="22"/>
          <w:szCs w:val="22"/>
        </w:rPr>
        <w:t xml:space="preserve"> improvements</w:t>
      </w:r>
      <w:r w:rsidR="007203E2">
        <w:rPr>
          <w:rFonts w:ascii="Arial" w:hAnsi="Arial" w:cs="Arial"/>
          <w:sz w:val="22"/>
          <w:szCs w:val="22"/>
        </w:rPr>
        <w:t xml:space="preserve">, </w:t>
      </w:r>
      <w:r w:rsidR="00611406">
        <w:rPr>
          <w:rFonts w:ascii="Arial" w:hAnsi="Arial" w:cs="Arial"/>
          <w:sz w:val="22"/>
          <w:szCs w:val="22"/>
        </w:rPr>
        <w:t>and</w:t>
      </w:r>
      <w:r w:rsidR="007203E2">
        <w:rPr>
          <w:rFonts w:ascii="Arial" w:hAnsi="Arial" w:cs="Arial"/>
          <w:sz w:val="22"/>
          <w:szCs w:val="22"/>
        </w:rPr>
        <w:t xml:space="preserve"> </w:t>
      </w:r>
      <w:r w:rsidR="001D3DD5">
        <w:rPr>
          <w:rFonts w:ascii="Arial" w:hAnsi="Arial" w:cs="Arial"/>
          <w:sz w:val="22"/>
          <w:szCs w:val="22"/>
        </w:rPr>
        <w:t xml:space="preserve">the </w:t>
      </w:r>
      <w:r w:rsidR="007203E2">
        <w:rPr>
          <w:rFonts w:ascii="Arial" w:hAnsi="Arial" w:cs="Arial"/>
          <w:sz w:val="22"/>
          <w:szCs w:val="22"/>
        </w:rPr>
        <w:t>community</w:t>
      </w:r>
      <w:r w:rsidR="001D3DD5">
        <w:rPr>
          <w:rFonts w:ascii="Arial" w:hAnsi="Arial" w:cs="Arial"/>
          <w:sz w:val="22"/>
          <w:szCs w:val="22"/>
        </w:rPr>
        <w:t>’s</w:t>
      </w:r>
      <w:r w:rsidR="007203E2">
        <w:rPr>
          <w:rFonts w:ascii="Arial" w:hAnsi="Arial" w:cs="Arial"/>
          <w:sz w:val="22"/>
          <w:szCs w:val="22"/>
        </w:rPr>
        <w:t xml:space="preserve"> </w:t>
      </w:r>
      <w:r w:rsidR="00611406">
        <w:rPr>
          <w:rFonts w:ascii="Arial" w:hAnsi="Arial" w:cs="Arial"/>
          <w:sz w:val="22"/>
          <w:szCs w:val="22"/>
        </w:rPr>
        <w:t xml:space="preserve">sentiment </w:t>
      </w:r>
      <w:r w:rsidR="007203E2">
        <w:rPr>
          <w:rFonts w:ascii="Arial" w:hAnsi="Arial" w:cs="Arial"/>
          <w:sz w:val="22"/>
          <w:szCs w:val="22"/>
        </w:rPr>
        <w:t xml:space="preserve">about </w:t>
      </w:r>
      <w:r w:rsidR="002104EF">
        <w:rPr>
          <w:rFonts w:ascii="Arial" w:hAnsi="Arial" w:cs="Arial"/>
          <w:sz w:val="22"/>
          <w:szCs w:val="22"/>
        </w:rPr>
        <w:t>what makes a</w:t>
      </w:r>
      <w:r w:rsidR="001D3DD5">
        <w:rPr>
          <w:rFonts w:ascii="Arial" w:hAnsi="Arial" w:cs="Arial"/>
          <w:sz w:val="22"/>
          <w:szCs w:val="22"/>
        </w:rPr>
        <w:t xml:space="preserve">n enjoyable and functional </w:t>
      </w:r>
      <w:r w:rsidR="002104EF">
        <w:rPr>
          <w:rFonts w:ascii="Arial" w:hAnsi="Arial" w:cs="Arial"/>
          <w:sz w:val="22"/>
          <w:szCs w:val="22"/>
        </w:rPr>
        <w:t>activity centre</w:t>
      </w:r>
      <w:r w:rsidR="00D35AFD" w:rsidRPr="0080514E">
        <w:rPr>
          <w:rFonts w:ascii="Arial" w:hAnsi="Arial" w:cs="Arial"/>
          <w:sz w:val="22"/>
          <w:szCs w:val="22"/>
        </w:rPr>
        <w:t>.</w:t>
      </w:r>
    </w:p>
    <w:p w14:paraId="391E7620" w14:textId="0DF30741" w:rsidR="00F81021" w:rsidRPr="000468D1" w:rsidRDefault="00F81021" w:rsidP="00E6085B">
      <w:pPr>
        <w:jc w:val="both"/>
        <w:rPr>
          <w:rFonts w:ascii="Arial" w:hAnsi="Arial" w:cs="Arial"/>
          <w:sz w:val="22"/>
          <w:szCs w:val="22"/>
        </w:rPr>
      </w:pPr>
      <w:r w:rsidRPr="000468D1">
        <w:rPr>
          <w:rFonts w:ascii="Arial" w:hAnsi="Arial" w:cs="Arial"/>
          <w:sz w:val="22"/>
          <w:szCs w:val="22"/>
        </w:rPr>
        <w:t xml:space="preserve">The </w:t>
      </w:r>
      <w:r w:rsidR="001D18B3">
        <w:rPr>
          <w:rFonts w:ascii="Arial" w:hAnsi="Arial" w:cs="Arial"/>
          <w:sz w:val="22"/>
          <w:szCs w:val="22"/>
        </w:rPr>
        <w:t xml:space="preserve">feedback obtained through the consultation </w:t>
      </w:r>
      <w:r w:rsidRPr="000468D1">
        <w:rPr>
          <w:rFonts w:ascii="Arial" w:hAnsi="Arial" w:cs="Arial"/>
          <w:sz w:val="22"/>
          <w:szCs w:val="22"/>
        </w:rPr>
        <w:t xml:space="preserve">included </w:t>
      </w:r>
      <w:r w:rsidR="00C22A1C">
        <w:rPr>
          <w:rFonts w:ascii="Arial" w:hAnsi="Arial" w:cs="Arial"/>
          <w:sz w:val="22"/>
          <w:szCs w:val="22"/>
        </w:rPr>
        <w:t>3</w:t>
      </w:r>
      <w:r w:rsidR="001C1723">
        <w:rPr>
          <w:rFonts w:ascii="Arial" w:hAnsi="Arial" w:cs="Arial"/>
          <w:sz w:val="22"/>
          <w:szCs w:val="22"/>
        </w:rPr>
        <w:t>74</w:t>
      </w:r>
      <w:r w:rsidR="000468D1" w:rsidRPr="000468D1">
        <w:rPr>
          <w:rFonts w:ascii="Arial" w:hAnsi="Arial" w:cs="Arial"/>
          <w:sz w:val="22"/>
          <w:szCs w:val="22"/>
        </w:rPr>
        <w:t xml:space="preserve"> </w:t>
      </w:r>
      <w:r w:rsidR="000E1C2D">
        <w:rPr>
          <w:rFonts w:ascii="Arial" w:hAnsi="Arial" w:cs="Arial"/>
          <w:sz w:val="22"/>
          <w:szCs w:val="22"/>
        </w:rPr>
        <w:t xml:space="preserve">randomly selected </w:t>
      </w:r>
      <w:r w:rsidR="000468D1" w:rsidRPr="000468D1">
        <w:rPr>
          <w:rFonts w:ascii="Arial" w:hAnsi="Arial" w:cs="Arial"/>
          <w:sz w:val="22"/>
          <w:szCs w:val="22"/>
        </w:rPr>
        <w:t xml:space="preserve">intercept survey respondents </w:t>
      </w:r>
      <w:r w:rsidR="001D3DD5">
        <w:rPr>
          <w:rFonts w:ascii="Arial" w:hAnsi="Arial" w:cs="Arial"/>
          <w:sz w:val="22"/>
          <w:szCs w:val="22"/>
        </w:rPr>
        <w:t>conducted in</w:t>
      </w:r>
      <w:r w:rsidR="000468D1" w:rsidRPr="000468D1">
        <w:rPr>
          <w:rFonts w:ascii="Arial" w:hAnsi="Arial" w:cs="Arial"/>
          <w:sz w:val="22"/>
          <w:szCs w:val="22"/>
        </w:rPr>
        <w:t xml:space="preserve"> the seven centres, </w:t>
      </w:r>
      <w:r w:rsidR="00A048E3">
        <w:rPr>
          <w:rFonts w:ascii="Arial" w:hAnsi="Arial" w:cs="Arial"/>
          <w:sz w:val="22"/>
          <w:szCs w:val="22"/>
        </w:rPr>
        <w:t>275</w:t>
      </w:r>
      <w:r w:rsidR="008F1EE7" w:rsidRPr="000468D1">
        <w:rPr>
          <w:rFonts w:ascii="Arial" w:hAnsi="Arial" w:cs="Arial"/>
          <w:sz w:val="22"/>
          <w:szCs w:val="22"/>
        </w:rPr>
        <w:t xml:space="preserve"> </w:t>
      </w:r>
      <w:r w:rsidR="000E1C2D">
        <w:rPr>
          <w:rFonts w:ascii="Arial" w:hAnsi="Arial" w:cs="Arial"/>
          <w:sz w:val="22"/>
          <w:szCs w:val="22"/>
        </w:rPr>
        <w:t xml:space="preserve">self-selected </w:t>
      </w:r>
      <w:r w:rsidR="008F1EE7" w:rsidRPr="00D00996">
        <w:rPr>
          <w:rFonts w:ascii="Arial" w:hAnsi="Arial" w:cs="Arial"/>
          <w:i/>
          <w:iCs/>
          <w:sz w:val="22"/>
          <w:szCs w:val="22"/>
        </w:rPr>
        <w:t>Have Your Say</w:t>
      </w:r>
      <w:r w:rsidR="001D18B3">
        <w:rPr>
          <w:rFonts w:ascii="Arial" w:hAnsi="Arial" w:cs="Arial"/>
          <w:i/>
          <w:iCs/>
          <w:sz w:val="22"/>
          <w:szCs w:val="22"/>
        </w:rPr>
        <w:t xml:space="preserve"> </w:t>
      </w:r>
      <w:r w:rsidR="001D18B3">
        <w:rPr>
          <w:rFonts w:ascii="Arial" w:hAnsi="Arial" w:cs="Arial"/>
          <w:sz w:val="22"/>
          <w:szCs w:val="22"/>
        </w:rPr>
        <w:t>online surveys</w:t>
      </w:r>
      <w:r w:rsidR="00E6085B" w:rsidRPr="00D00996">
        <w:rPr>
          <w:rFonts w:ascii="Arial" w:hAnsi="Arial" w:cs="Arial"/>
          <w:sz w:val="22"/>
          <w:szCs w:val="22"/>
        </w:rPr>
        <w:t xml:space="preserve">, </w:t>
      </w:r>
      <w:r w:rsidR="001D18B3">
        <w:rPr>
          <w:rFonts w:ascii="Arial" w:hAnsi="Arial" w:cs="Arial"/>
          <w:sz w:val="22"/>
          <w:szCs w:val="22"/>
        </w:rPr>
        <w:t xml:space="preserve">44 comments from </w:t>
      </w:r>
      <w:r w:rsidR="00D00996" w:rsidRPr="00D00996">
        <w:rPr>
          <w:rFonts w:ascii="Arial" w:hAnsi="Arial" w:cs="Arial"/>
          <w:sz w:val="22"/>
          <w:szCs w:val="22"/>
        </w:rPr>
        <w:t>BHARG</w:t>
      </w:r>
      <w:r w:rsidR="00FE2BC3">
        <w:rPr>
          <w:rFonts w:ascii="Arial" w:hAnsi="Arial" w:cs="Arial"/>
          <w:sz w:val="22"/>
          <w:szCs w:val="22"/>
        </w:rPr>
        <w:t>, FReeZA, and DAIAC</w:t>
      </w:r>
      <w:r w:rsidR="00D00996" w:rsidRPr="00D00996">
        <w:rPr>
          <w:rFonts w:ascii="Arial" w:hAnsi="Arial" w:cs="Arial"/>
          <w:sz w:val="22"/>
          <w:szCs w:val="22"/>
        </w:rPr>
        <w:t xml:space="preserve"> meeting</w:t>
      </w:r>
      <w:r w:rsidR="00921279">
        <w:rPr>
          <w:rFonts w:ascii="Arial" w:hAnsi="Arial" w:cs="Arial"/>
          <w:sz w:val="22"/>
          <w:szCs w:val="22"/>
        </w:rPr>
        <w:t>s</w:t>
      </w:r>
      <w:r w:rsidR="00E6085B" w:rsidRPr="00D00996">
        <w:rPr>
          <w:rFonts w:ascii="Arial" w:hAnsi="Arial" w:cs="Arial"/>
          <w:sz w:val="22"/>
          <w:szCs w:val="22"/>
        </w:rPr>
        <w:t xml:space="preserve">, and </w:t>
      </w:r>
      <w:r w:rsidR="00E6085B" w:rsidRPr="000468D1">
        <w:rPr>
          <w:rFonts w:ascii="Arial" w:hAnsi="Arial" w:cs="Arial"/>
          <w:sz w:val="22"/>
          <w:szCs w:val="22"/>
        </w:rPr>
        <w:t xml:space="preserve">two </w:t>
      </w:r>
      <w:r w:rsidR="001D3DD5">
        <w:rPr>
          <w:rFonts w:ascii="Arial" w:hAnsi="Arial" w:cs="Arial"/>
          <w:sz w:val="22"/>
          <w:szCs w:val="22"/>
        </w:rPr>
        <w:t xml:space="preserve">direct submissions via </w:t>
      </w:r>
      <w:r w:rsidRPr="000468D1">
        <w:rPr>
          <w:rFonts w:ascii="Arial" w:hAnsi="Arial" w:cs="Arial"/>
          <w:sz w:val="22"/>
          <w:szCs w:val="22"/>
        </w:rPr>
        <w:t>email</w:t>
      </w:r>
      <w:r w:rsidR="000B75DB" w:rsidRPr="000468D1">
        <w:rPr>
          <w:rFonts w:ascii="Arial" w:hAnsi="Arial" w:cs="Arial"/>
          <w:sz w:val="22"/>
          <w:szCs w:val="22"/>
        </w:rPr>
        <w:t xml:space="preserve"> to </w:t>
      </w:r>
      <w:r w:rsidRPr="000468D1">
        <w:rPr>
          <w:rFonts w:ascii="Arial" w:hAnsi="Arial" w:cs="Arial"/>
          <w:sz w:val="22"/>
          <w:szCs w:val="22"/>
        </w:rPr>
        <w:t>Council officers.</w:t>
      </w:r>
    </w:p>
    <w:p w14:paraId="43492E24" w14:textId="77777777" w:rsidR="00A3625D" w:rsidRPr="00B5258A" w:rsidRDefault="00A3625D" w:rsidP="00265CFA">
      <w:pPr>
        <w:rPr>
          <w:sz w:val="22"/>
        </w:rPr>
      </w:pPr>
    </w:p>
    <w:p w14:paraId="1691BD24" w14:textId="6B3BE302" w:rsidR="00F10FEA" w:rsidRDefault="00F10FEA" w:rsidP="000807D2">
      <w:pPr>
        <w:pStyle w:val="Heading1"/>
        <w:rPr>
          <w:sz w:val="28"/>
        </w:rPr>
      </w:pPr>
      <w:bookmarkStart w:id="1" w:name="_Toc500947189"/>
      <w:r w:rsidRPr="00B5258A">
        <w:rPr>
          <w:sz w:val="28"/>
        </w:rPr>
        <w:t>Consultation process</w:t>
      </w:r>
      <w:bookmarkEnd w:id="1"/>
    </w:p>
    <w:p w14:paraId="60B73588" w14:textId="77777777" w:rsidR="008D2578" w:rsidRPr="008D2578" w:rsidRDefault="008D2578" w:rsidP="008D2578"/>
    <w:p w14:paraId="7011C958" w14:textId="7BC73B91" w:rsidR="00F10FEA" w:rsidRPr="00B5258A" w:rsidRDefault="00F10FEA" w:rsidP="000807D2">
      <w:pPr>
        <w:pStyle w:val="Heading2"/>
        <w:rPr>
          <w:sz w:val="24"/>
        </w:rPr>
      </w:pPr>
      <w:bookmarkStart w:id="2" w:name="_Toc500947190"/>
      <w:r w:rsidRPr="00237043">
        <w:rPr>
          <w:sz w:val="24"/>
        </w:rPr>
        <w:t>Consultation</w:t>
      </w:r>
      <w:r w:rsidRPr="00B5258A">
        <w:rPr>
          <w:sz w:val="24"/>
        </w:rPr>
        <w:t xml:space="preserve"> purpose</w:t>
      </w:r>
      <w:bookmarkEnd w:id="2"/>
    </w:p>
    <w:p w14:paraId="5CED7081" w14:textId="77777777" w:rsidR="008D2578" w:rsidRPr="008D2578" w:rsidRDefault="00EA3B0B" w:rsidP="00BE18DC">
      <w:pPr>
        <w:shd w:val="clear" w:color="auto" w:fill="FFFFFF"/>
        <w:spacing w:beforeAutospacing="1" w:after="100" w:afterAutospacing="1" w:line="240" w:lineRule="auto"/>
        <w:jc w:val="both"/>
        <w:rPr>
          <w:rFonts w:ascii="Arial" w:eastAsia="Times New Roman" w:hAnsi="Arial" w:cs="Arial"/>
          <w:sz w:val="22"/>
          <w:szCs w:val="22"/>
          <w:lang w:eastAsia="en-AU"/>
        </w:rPr>
      </w:pPr>
      <w:bookmarkStart w:id="3" w:name="_Toc500947191"/>
      <w:r w:rsidRPr="008D2578">
        <w:rPr>
          <w:rFonts w:ascii="Arial" w:eastAsia="Times New Roman" w:hAnsi="Arial" w:cs="Arial"/>
          <w:sz w:val="22"/>
          <w:szCs w:val="22"/>
          <w:lang w:eastAsia="en-AU"/>
        </w:rPr>
        <w:t xml:space="preserve">The </w:t>
      </w:r>
      <w:r w:rsidR="00BE18DC" w:rsidRPr="008D2578">
        <w:rPr>
          <w:rFonts w:ascii="Arial" w:eastAsia="Times New Roman" w:hAnsi="Arial" w:cs="Arial"/>
          <w:sz w:val="22"/>
          <w:szCs w:val="22"/>
          <w:lang w:eastAsia="en-AU"/>
        </w:rPr>
        <w:t>purpose</w:t>
      </w:r>
      <w:r w:rsidRPr="008D2578">
        <w:rPr>
          <w:rFonts w:ascii="Arial" w:eastAsia="Times New Roman" w:hAnsi="Arial" w:cs="Arial"/>
          <w:sz w:val="22"/>
          <w:szCs w:val="22"/>
          <w:lang w:eastAsia="en-AU"/>
        </w:rPr>
        <w:t xml:space="preserve"> of the consultation was to understand the community’s</w:t>
      </w:r>
      <w:r w:rsidR="00CB0E02" w:rsidRPr="008D2578">
        <w:rPr>
          <w:rFonts w:ascii="Arial" w:eastAsia="Times New Roman" w:hAnsi="Arial" w:cs="Arial"/>
          <w:sz w:val="22"/>
          <w:szCs w:val="22"/>
          <w:lang w:eastAsia="en-AU"/>
        </w:rPr>
        <w:t xml:space="preserve"> views about the </w:t>
      </w:r>
      <w:r w:rsidR="00C01B40" w:rsidRPr="008D2578">
        <w:rPr>
          <w:rFonts w:ascii="Arial" w:eastAsia="Times New Roman" w:hAnsi="Arial" w:cs="Arial"/>
          <w:sz w:val="22"/>
          <w:szCs w:val="22"/>
          <w:lang w:eastAsia="en-AU"/>
        </w:rPr>
        <w:t>seven local activity centres</w:t>
      </w:r>
      <w:r w:rsidR="008D2578" w:rsidRPr="008D2578">
        <w:rPr>
          <w:rFonts w:ascii="Arial" w:eastAsia="Times New Roman" w:hAnsi="Arial" w:cs="Arial"/>
          <w:sz w:val="22"/>
          <w:szCs w:val="22"/>
          <w:lang w:eastAsia="en-AU"/>
        </w:rPr>
        <w:t xml:space="preserve">.  </w:t>
      </w:r>
    </w:p>
    <w:p w14:paraId="21BC105F" w14:textId="62A2EFE3" w:rsidR="008D2578" w:rsidRDefault="008D2578" w:rsidP="00BE18DC">
      <w:pPr>
        <w:shd w:val="clear" w:color="auto" w:fill="FFFFFF"/>
        <w:spacing w:beforeAutospacing="1" w:after="100" w:afterAutospacing="1" w:line="240" w:lineRule="auto"/>
        <w:jc w:val="both"/>
        <w:rPr>
          <w:rFonts w:ascii="Arial" w:eastAsia="Times New Roman" w:hAnsi="Arial" w:cs="Arial"/>
          <w:sz w:val="22"/>
          <w:szCs w:val="22"/>
          <w:lang w:eastAsia="en-AU"/>
        </w:rPr>
      </w:pPr>
      <w:r>
        <w:rPr>
          <w:rFonts w:ascii="Arial" w:eastAsia="Times New Roman" w:hAnsi="Arial" w:cs="Arial"/>
          <w:sz w:val="22"/>
          <w:szCs w:val="22"/>
          <w:lang w:eastAsia="en-AU"/>
        </w:rPr>
        <w:t xml:space="preserve">The consultation focused on community views about a range of potential </w:t>
      </w:r>
      <w:r w:rsidR="004F23C5">
        <w:rPr>
          <w:rFonts w:ascii="Arial" w:eastAsia="Times New Roman" w:hAnsi="Arial" w:cs="Arial"/>
          <w:sz w:val="22"/>
          <w:szCs w:val="22"/>
          <w:lang w:eastAsia="en-AU"/>
        </w:rPr>
        <w:t xml:space="preserve">improvements specific to each centre, </w:t>
      </w:r>
      <w:r w:rsidR="001D3DD5">
        <w:rPr>
          <w:rFonts w:ascii="Arial" w:eastAsia="Times New Roman" w:hAnsi="Arial" w:cs="Arial"/>
          <w:sz w:val="22"/>
          <w:szCs w:val="22"/>
          <w:lang w:eastAsia="en-AU"/>
        </w:rPr>
        <w:t xml:space="preserve">sentiment </w:t>
      </w:r>
      <w:r w:rsidR="004F23C5">
        <w:rPr>
          <w:rFonts w:ascii="Arial" w:eastAsia="Times New Roman" w:hAnsi="Arial" w:cs="Arial"/>
          <w:sz w:val="22"/>
          <w:szCs w:val="22"/>
          <w:lang w:eastAsia="en-AU"/>
        </w:rPr>
        <w:t xml:space="preserve">about </w:t>
      </w:r>
      <w:r w:rsidR="00533EB4">
        <w:rPr>
          <w:rFonts w:ascii="Arial" w:eastAsia="Times New Roman" w:hAnsi="Arial" w:cs="Arial"/>
          <w:sz w:val="22"/>
          <w:szCs w:val="22"/>
          <w:lang w:eastAsia="en-AU"/>
        </w:rPr>
        <w:t xml:space="preserve">placemaking initiatives, and </w:t>
      </w:r>
      <w:r w:rsidR="001D3DD5">
        <w:rPr>
          <w:rFonts w:ascii="Arial" w:eastAsia="Times New Roman" w:hAnsi="Arial" w:cs="Arial"/>
          <w:sz w:val="22"/>
          <w:szCs w:val="22"/>
          <w:lang w:eastAsia="en-AU"/>
        </w:rPr>
        <w:t xml:space="preserve">feedback </w:t>
      </w:r>
      <w:r w:rsidR="00533EB4">
        <w:rPr>
          <w:rFonts w:ascii="Arial" w:eastAsia="Times New Roman" w:hAnsi="Arial" w:cs="Arial"/>
          <w:sz w:val="22"/>
          <w:szCs w:val="22"/>
          <w:lang w:eastAsia="en-AU"/>
        </w:rPr>
        <w:t>about what makes for a good local activity centre.</w:t>
      </w:r>
    </w:p>
    <w:p w14:paraId="7588B3AB" w14:textId="77777777" w:rsidR="00660579" w:rsidRDefault="00660579" w:rsidP="00BE18DC">
      <w:pPr>
        <w:shd w:val="clear" w:color="auto" w:fill="FFFFFF"/>
        <w:spacing w:beforeAutospacing="1" w:after="100" w:afterAutospacing="1" w:line="240" w:lineRule="auto"/>
        <w:jc w:val="both"/>
        <w:rPr>
          <w:rFonts w:ascii="Arial" w:eastAsia="Times New Roman" w:hAnsi="Arial" w:cs="Arial"/>
          <w:sz w:val="22"/>
          <w:szCs w:val="22"/>
          <w:lang w:eastAsia="en-AU"/>
        </w:rPr>
      </w:pPr>
    </w:p>
    <w:p w14:paraId="6B386024" w14:textId="25452CA7" w:rsidR="00AF6944" w:rsidRPr="00B5258A" w:rsidRDefault="00926E02" w:rsidP="000807D2">
      <w:pPr>
        <w:pStyle w:val="Heading2"/>
        <w:rPr>
          <w:sz w:val="24"/>
        </w:rPr>
      </w:pPr>
      <w:r w:rsidRPr="00B5258A">
        <w:rPr>
          <w:sz w:val="24"/>
        </w:rPr>
        <w:t>Consultation methodology</w:t>
      </w:r>
      <w:bookmarkEnd w:id="3"/>
    </w:p>
    <w:p w14:paraId="174B6E66" w14:textId="20E7A445" w:rsidR="00B33EB8" w:rsidRDefault="00B33EB8" w:rsidP="00525FE7">
      <w:pPr>
        <w:jc w:val="both"/>
        <w:rPr>
          <w:sz w:val="22"/>
        </w:rPr>
      </w:pPr>
      <w:r w:rsidRPr="00F81021">
        <w:rPr>
          <w:sz w:val="22"/>
        </w:rPr>
        <w:t xml:space="preserve">The tools and techniques selected for this project were informed by the project content, stakeholders, and type of feedback sought.  </w:t>
      </w:r>
    </w:p>
    <w:p w14:paraId="6CBA66E9" w14:textId="2D34758E" w:rsidR="00663EFE" w:rsidRDefault="001D3DD5" w:rsidP="00525FE7">
      <w:pPr>
        <w:jc w:val="both"/>
        <w:rPr>
          <w:sz w:val="22"/>
        </w:rPr>
      </w:pPr>
      <w:r>
        <w:rPr>
          <w:sz w:val="22"/>
        </w:rPr>
        <w:t>C</w:t>
      </w:r>
      <w:r w:rsidR="00663EFE">
        <w:rPr>
          <w:sz w:val="22"/>
        </w:rPr>
        <w:t>ommuni</w:t>
      </w:r>
      <w:r>
        <w:rPr>
          <w:sz w:val="22"/>
        </w:rPr>
        <w:t xml:space="preserve">ty engagement was conducted between </w:t>
      </w:r>
      <w:r w:rsidR="00F640FC" w:rsidRPr="0091093F">
        <w:rPr>
          <w:sz w:val="22"/>
        </w:rPr>
        <w:t xml:space="preserve">31 October </w:t>
      </w:r>
      <w:r>
        <w:rPr>
          <w:sz w:val="22"/>
        </w:rPr>
        <w:t xml:space="preserve">and </w:t>
      </w:r>
      <w:r w:rsidR="00F640FC" w:rsidRPr="0091093F">
        <w:rPr>
          <w:sz w:val="22"/>
        </w:rPr>
        <w:t>27</w:t>
      </w:r>
      <w:r w:rsidR="00663EFE" w:rsidRPr="0091093F">
        <w:rPr>
          <w:sz w:val="22"/>
        </w:rPr>
        <w:t xml:space="preserve"> </w:t>
      </w:r>
      <w:r w:rsidR="00E7063D" w:rsidRPr="0091093F">
        <w:rPr>
          <w:sz w:val="22"/>
        </w:rPr>
        <w:t>November</w:t>
      </w:r>
      <w:r w:rsidR="00663EFE" w:rsidRPr="0091093F">
        <w:rPr>
          <w:sz w:val="22"/>
        </w:rPr>
        <w:t xml:space="preserve"> 2023</w:t>
      </w:r>
      <w:r w:rsidR="00663EFE">
        <w:rPr>
          <w:sz w:val="22"/>
        </w:rPr>
        <w:t>.</w:t>
      </w:r>
    </w:p>
    <w:p w14:paraId="40E06999" w14:textId="013B5342" w:rsidR="00791172" w:rsidRDefault="0091093F" w:rsidP="00525FE7">
      <w:pPr>
        <w:jc w:val="both"/>
        <w:rPr>
          <w:sz w:val="22"/>
        </w:rPr>
      </w:pPr>
      <w:r>
        <w:rPr>
          <w:sz w:val="22"/>
        </w:rPr>
        <w:t xml:space="preserve">The consultation </w:t>
      </w:r>
      <w:r w:rsidR="00AE6FE1">
        <w:rPr>
          <w:sz w:val="22"/>
        </w:rPr>
        <w:t xml:space="preserve">feedback mechanisms </w:t>
      </w:r>
      <w:r>
        <w:rPr>
          <w:sz w:val="22"/>
        </w:rPr>
        <w:t>included</w:t>
      </w:r>
      <w:r w:rsidR="00B94888">
        <w:rPr>
          <w:sz w:val="22"/>
        </w:rPr>
        <w:t xml:space="preserve"> </w:t>
      </w:r>
      <w:r w:rsidR="00791172">
        <w:rPr>
          <w:sz w:val="22"/>
        </w:rPr>
        <w:t xml:space="preserve">an online survey </w:t>
      </w:r>
      <w:r w:rsidR="00703146">
        <w:rPr>
          <w:sz w:val="22"/>
        </w:rPr>
        <w:t xml:space="preserve">on the </w:t>
      </w:r>
      <w:r w:rsidR="00703146" w:rsidRPr="001D18B3">
        <w:rPr>
          <w:i/>
          <w:iCs/>
          <w:sz w:val="22"/>
        </w:rPr>
        <w:t>Have Your Say</w:t>
      </w:r>
      <w:r w:rsidR="00703146">
        <w:rPr>
          <w:sz w:val="22"/>
        </w:rPr>
        <w:t xml:space="preserve"> website, </w:t>
      </w:r>
      <w:r w:rsidR="003C03BB">
        <w:rPr>
          <w:sz w:val="22"/>
        </w:rPr>
        <w:t xml:space="preserve">21 five-hour </w:t>
      </w:r>
      <w:r w:rsidR="00703146">
        <w:rPr>
          <w:sz w:val="22"/>
        </w:rPr>
        <w:t>face-to-face intercept survey</w:t>
      </w:r>
      <w:r w:rsidR="003C03BB">
        <w:rPr>
          <w:sz w:val="22"/>
        </w:rPr>
        <w:t xml:space="preserve"> </w:t>
      </w:r>
      <w:r w:rsidR="00703146">
        <w:rPr>
          <w:sz w:val="22"/>
        </w:rPr>
        <w:t>s</w:t>
      </w:r>
      <w:r w:rsidR="003C03BB">
        <w:rPr>
          <w:sz w:val="22"/>
        </w:rPr>
        <w:t xml:space="preserve">essions conducted by </w:t>
      </w:r>
      <w:r w:rsidR="003C03BB">
        <w:rPr>
          <w:rFonts w:ascii="Arial" w:eastAsia="Times New Roman" w:hAnsi="Arial" w:cs="Arial"/>
          <w:sz w:val="22"/>
          <w:szCs w:val="22"/>
          <w:lang w:eastAsia="en-AU"/>
        </w:rPr>
        <w:t>Metropolis Research</w:t>
      </w:r>
      <w:r w:rsidR="00703146">
        <w:rPr>
          <w:sz w:val="22"/>
        </w:rPr>
        <w:t xml:space="preserve"> </w:t>
      </w:r>
      <w:r w:rsidR="003C03BB">
        <w:rPr>
          <w:sz w:val="22"/>
        </w:rPr>
        <w:t>(three five-hour sessions</w:t>
      </w:r>
      <w:r w:rsidR="00703146">
        <w:rPr>
          <w:sz w:val="22"/>
        </w:rPr>
        <w:t xml:space="preserve"> at each of the seven activity centres</w:t>
      </w:r>
      <w:r w:rsidR="003C03BB">
        <w:rPr>
          <w:sz w:val="22"/>
        </w:rPr>
        <w:t xml:space="preserve"> - one weekday </w:t>
      </w:r>
      <w:r w:rsidR="003C03BB">
        <w:rPr>
          <w:sz w:val="22"/>
        </w:rPr>
        <w:lastRenderedPageBreak/>
        <w:t>morning, one weekday afternoon/ early evening, and one weekend session)</w:t>
      </w:r>
      <w:r w:rsidR="00233479">
        <w:rPr>
          <w:sz w:val="22"/>
        </w:rPr>
        <w:t xml:space="preserve">, and </w:t>
      </w:r>
      <w:r w:rsidR="003C03BB">
        <w:rPr>
          <w:sz w:val="22"/>
        </w:rPr>
        <w:t xml:space="preserve">presentations at the </w:t>
      </w:r>
      <w:r w:rsidR="00921279" w:rsidRPr="00D00996">
        <w:rPr>
          <w:rFonts w:ascii="Arial" w:hAnsi="Arial" w:cs="Arial"/>
          <w:sz w:val="22"/>
          <w:szCs w:val="22"/>
        </w:rPr>
        <w:t>BHARG</w:t>
      </w:r>
      <w:r w:rsidR="007C33C2">
        <w:rPr>
          <w:rFonts w:ascii="Arial" w:hAnsi="Arial" w:cs="Arial"/>
          <w:sz w:val="22"/>
          <w:szCs w:val="22"/>
        </w:rPr>
        <w:t xml:space="preserve"> (Bayside Health Ageing Reference Group)</w:t>
      </w:r>
      <w:r w:rsidR="00921279">
        <w:rPr>
          <w:rFonts w:ascii="Arial" w:hAnsi="Arial" w:cs="Arial"/>
          <w:sz w:val="22"/>
          <w:szCs w:val="22"/>
        </w:rPr>
        <w:t>, FReeZA</w:t>
      </w:r>
      <w:r w:rsidR="007C33C2">
        <w:rPr>
          <w:rFonts w:ascii="Arial" w:hAnsi="Arial" w:cs="Arial"/>
          <w:sz w:val="22"/>
          <w:szCs w:val="22"/>
        </w:rPr>
        <w:t xml:space="preserve"> (youth group for ages 12 to 25 years)</w:t>
      </w:r>
      <w:r w:rsidR="00921279">
        <w:rPr>
          <w:rFonts w:ascii="Arial" w:hAnsi="Arial" w:cs="Arial"/>
          <w:sz w:val="22"/>
          <w:szCs w:val="22"/>
        </w:rPr>
        <w:t>, and DAIAC</w:t>
      </w:r>
      <w:r w:rsidR="00921279" w:rsidRPr="00D00996">
        <w:rPr>
          <w:rFonts w:ascii="Arial" w:hAnsi="Arial" w:cs="Arial"/>
          <w:sz w:val="22"/>
          <w:szCs w:val="22"/>
        </w:rPr>
        <w:t xml:space="preserve"> </w:t>
      </w:r>
      <w:r w:rsidR="007C33C2">
        <w:rPr>
          <w:rFonts w:ascii="Arial" w:hAnsi="Arial" w:cs="Arial"/>
          <w:sz w:val="22"/>
          <w:szCs w:val="22"/>
        </w:rPr>
        <w:t xml:space="preserve">(Disability Access and Inclusion Advisory Group) </w:t>
      </w:r>
      <w:r w:rsidR="00921279" w:rsidRPr="00D00996">
        <w:rPr>
          <w:rFonts w:ascii="Arial" w:hAnsi="Arial" w:cs="Arial"/>
          <w:sz w:val="22"/>
          <w:szCs w:val="22"/>
        </w:rPr>
        <w:t>meeting</w:t>
      </w:r>
      <w:r w:rsidR="00921279">
        <w:rPr>
          <w:rFonts w:ascii="Arial" w:hAnsi="Arial" w:cs="Arial"/>
          <w:sz w:val="22"/>
          <w:szCs w:val="22"/>
        </w:rPr>
        <w:t>s</w:t>
      </w:r>
      <w:r w:rsidR="00703146">
        <w:rPr>
          <w:sz w:val="22"/>
        </w:rPr>
        <w:t>.</w:t>
      </w:r>
    </w:p>
    <w:p w14:paraId="550DAD34" w14:textId="5ADAB46C" w:rsidR="000C30E7" w:rsidRDefault="000C30E7" w:rsidP="00525FE7">
      <w:pPr>
        <w:jc w:val="both"/>
        <w:rPr>
          <w:sz w:val="22"/>
        </w:rPr>
      </w:pPr>
      <w:r>
        <w:rPr>
          <w:sz w:val="22"/>
        </w:rPr>
        <w:t>The intercept surveys times and dates were advertised by Council via the Have Your Say project page, with A-frame signage (including QR code to the project page) displayed on-site in each activity centre during survey sessions to encourage people to complete the online survey if they did not have time to complete face-to-face.</w:t>
      </w:r>
    </w:p>
    <w:p w14:paraId="709A9E0F" w14:textId="334B0862" w:rsidR="000C30E7" w:rsidRDefault="005F6EAF" w:rsidP="00525FE7">
      <w:pPr>
        <w:jc w:val="both"/>
        <w:rPr>
          <w:sz w:val="22"/>
          <w:szCs w:val="22"/>
        </w:rPr>
      </w:pPr>
      <w:r>
        <w:rPr>
          <w:sz w:val="22"/>
        </w:rPr>
        <w:t>Council promoted t</w:t>
      </w:r>
      <w:r w:rsidR="00233479">
        <w:rPr>
          <w:sz w:val="22"/>
        </w:rPr>
        <w:t xml:space="preserve">he consultation </w:t>
      </w:r>
      <w:r>
        <w:rPr>
          <w:sz w:val="22"/>
        </w:rPr>
        <w:t>via</w:t>
      </w:r>
      <w:r w:rsidR="00D00996">
        <w:rPr>
          <w:sz w:val="22"/>
        </w:rPr>
        <w:t xml:space="preserve"> </w:t>
      </w:r>
      <w:r>
        <w:rPr>
          <w:sz w:val="22"/>
        </w:rPr>
        <w:t xml:space="preserve">3,502 </w:t>
      </w:r>
      <w:r w:rsidR="00B94888">
        <w:rPr>
          <w:sz w:val="22"/>
        </w:rPr>
        <w:t>e</w:t>
      </w:r>
      <w:r w:rsidR="000E4316">
        <w:rPr>
          <w:sz w:val="22"/>
        </w:rPr>
        <w:t xml:space="preserve">mails to </w:t>
      </w:r>
      <w:r w:rsidR="000E4316" w:rsidRPr="00B94888">
        <w:rPr>
          <w:i/>
          <w:iCs/>
          <w:sz w:val="22"/>
        </w:rPr>
        <w:t>Have Your Say</w:t>
      </w:r>
      <w:r w:rsidR="000E4316">
        <w:rPr>
          <w:sz w:val="22"/>
        </w:rPr>
        <w:t xml:space="preserve"> subscribers</w:t>
      </w:r>
      <w:r w:rsidR="003C03BB">
        <w:rPr>
          <w:sz w:val="22"/>
        </w:rPr>
        <w:t xml:space="preserve"> (o</w:t>
      </w:r>
      <w:r>
        <w:rPr>
          <w:sz w:val="22"/>
        </w:rPr>
        <w:t xml:space="preserve">pen rate </w:t>
      </w:r>
      <w:r w:rsidR="000E4316">
        <w:rPr>
          <w:sz w:val="22"/>
        </w:rPr>
        <w:t>54%</w:t>
      </w:r>
      <w:r w:rsidR="00B94888">
        <w:rPr>
          <w:sz w:val="22"/>
        </w:rPr>
        <w:t>, 137 click</w:t>
      </w:r>
      <w:r>
        <w:rPr>
          <w:sz w:val="22"/>
        </w:rPr>
        <w:t>-</w:t>
      </w:r>
      <w:r w:rsidRPr="005F6EAF">
        <w:rPr>
          <w:sz w:val="22"/>
          <w:szCs w:val="22"/>
        </w:rPr>
        <w:t>through</w:t>
      </w:r>
      <w:r w:rsidR="00B94888" w:rsidRPr="005F6EAF">
        <w:rPr>
          <w:sz w:val="22"/>
          <w:szCs w:val="22"/>
        </w:rPr>
        <w:t xml:space="preserve">s </w:t>
      </w:r>
      <w:r w:rsidRPr="005F6EAF">
        <w:rPr>
          <w:sz w:val="22"/>
          <w:szCs w:val="22"/>
        </w:rPr>
        <w:t>to the Have Your Say feedback page</w:t>
      </w:r>
      <w:r w:rsidR="003C03BB">
        <w:rPr>
          <w:sz w:val="22"/>
          <w:szCs w:val="22"/>
        </w:rPr>
        <w:t>)</w:t>
      </w:r>
      <w:r w:rsidR="00B94888" w:rsidRPr="005F6EAF">
        <w:rPr>
          <w:sz w:val="22"/>
          <w:szCs w:val="22"/>
        </w:rPr>
        <w:t>.</w:t>
      </w:r>
    </w:p>
    <w:p w14:paraId="42EF457C" w14:textId="06D7D1F7" w:rsidR="00AE6FE1" w:rsidRDefault="00AE6FE1" w:rsidP="00525FE7">
      <w:pPr>
        <w:jc w:val="both"/>
        <w:rPr>
          <w:sz w:val="22"/>
          <w:szCs w:val="22"/>
          <w:shd w:val="clear" w:color="auto" w:fill="FFFFFF"/>
        </w:rPr>
      </w:pPr>
      <w:r>
        <w:rPr>
          <w:sz w:val="22"/>
          <w:szCs w:val="22"/>
        </w:rPr>
        <w:t xml:space="preserve">Consultation information </w:t>
      </w:r>
      <w:r w:rsidRPr="005F6EAF">
        <w:rPr>
          <w:sz w:val="22"/>
          <w:szCs w:val="22"/>
        </w:rPr>
        <w:t>w</w:t>
      </w:r>
      <w:r>
        <w:rPr>
          <w:sz w:val="22"/>
          <w:szCs w:val="22"/>
        </w:rPr>
        <w:t>as</w:t>
      </w:r>
      <w:r w:rsidRPr="005F6EAF">
        <w:rPr>
          <w:sz w:val="22"/>
          <w:szCs w:val="22"/>
        </w:rPr>
        <w:t xml:space="preserve"> distributed </w:t>
      </w:r>
      <w:r>
        <w:rPr>
          <w:sz w:val="22"/>
          <w:szCs w:val="22"/>
        </w:rPr>
        <w:t xml:space="preserve">via email </w:t>
      </w:r>
      <w:r w:rsidRPr="005F6EAF">
        <w:rPr>
          <w:sz w:val="22"/>
          <w:szCs w:val="22"/>
        </w:rPr>
        <w:t xml:space="preserve">to </w:t>
      </w:r>
      <w:bookmarkStart w:id="4" w:name="_Hlk127804256"/>
      <w:r>
        <w:rPr>
          <w:sz w:val="22"/>
          <w:szCs w:val="22"/>
        </w:rPr>
        <w:t xml:space="preserve">the seven relevant </w:t>
      </w:r>
      <w:r w:rsidRPr="003B09C4">
        <w:rPr>
          <w:sz w:val="22"/>
          <w:szCs w:val="22"/>
        </w:rPr>
        <w:t xml:space="preserve">Traders’ </w:t>
      </w:r>
      <w:r>
        <w:rPr>
          <w:sz w:val="22"/>
          <w:szCs w:val="22"/>
        </w:rPr>
        <w:t>A</w:t>
      </w:r>
      <w:r w:rsidRPr="003B09C4">
        <w:rPr>
          <w:sz w:val="22"/>
          <w:szCs w:val="22"/>
        </w:rPr>
        <w:t>ssociation</w:t>
      </w:r>
      <w:r>
        <w:rPr>
          <w:sz w:val="22"/>
          <w:szCs w:val="22"/>
        </w:rPr>
        <w:t>s</w:t>
      </w:r>
      <w:r w:rsidRPr="003B09C4">
        <w:rPr>
          <w:sz w:val="22"/>
          <w:szCs w:val="22"/>
        </w:rPr>
        <w:t xml:space="preserve">, </w:t>
      </w:r>
      <w:r>
        <w:rPr>
          <w:sz w:val="22"/>
          <w:szCs w:val="22"/>
        </w:rPr>
        <w:t xml:space="preserve">the </w:t>
      </w:r>
      <w:r w:rsidRPr="003B09C4">
        <w:rPr>
          <w:sz w:val="22"/>
          <w:szCs w:val="22"/>
        </w:rPr>
        <w:t>B</w:t>
      </w:r>
      <w:r>
        <w:rPr>
          <w:sz w:val="22"/>
          <w:szCs w:val="22"/>
        </w:rPr>
        <w:t xml:space="preserve">ayside </w:t>
      </w:r>
      <w:r w:rsidRPr="003B09C4">
        <w:rPr>
          <w:sz w:val="22"/>
          <w:szCs w:val="22"/>
        </w:rPr>
        <w:t>B</w:t>
      </w:r>
      <w:r>
        <w:rPr>
          <w:sz w:val="22"/>
          <w:szCs w:val="22"/>
        </w:rPr>
        <w:t xml:space="preserve">usiness </w:t>
      </w:r>
      <w:r w:rsidRPr="003B09C4">
        <w:rPr>
          <w:sz w:val="22"/>
          <w:szCs w:val="22"/>
        </w:rPr>
        <w:t>N</w:t>
      </w:r>
      <w:r>
        <w:rPr>
          <w:sz w:val="22"/>
          <w:szCs w:val="22"/>
        </w:rPr>
        <w:t>etwork</w:t>
      </w:r>
      <w:r w:rsidRPr="003B09C4">
        <w:rPr>
          <w:sz w:val="22"/>
          <w:szCs w:val="22"/>
        </w:rPr>
        <w:t xml:space="preserve">, </w:t>
      </w:r>
      <w:r>
        <w:rPr>
          <w:sz w:val="22"/>
          <w:szCs w:val="22"/>
        </w:rPr>
        <w:t xml:space="preserve">the </w:t>
      </w:r>
      <w:r w:rsidRPr="003B09C4">
        <w:rPr>
          <w:sz w:val="22"/>
          <w:szCs w:val="22"/>
        </w:rPr>
        <w:t>Bayside Tourism Network</w:t>
      </w:r>
      <w:r>
        <w:rPr>
          <w:sz w:val="22"/>
          <w:szCs w:val="22"/>
        </w:rPr>
        <w:t xml:space="preserve"> and Bayside </w:t>
      </w:r>
      <w:r w:rsidRPr="003B09C4">
        <w:rPr>
          <w:sz w:val="22"/>
          <w:szCs w:val="22"/>
          <w:shd w:val="clear" w:color="auto" w:fill="FFFFFF"/>
        </w:rPr>
        <w:t>Youth Services</w:t>
      </w:r>
      <w:r>
        <w:rPr>
          <w:sz w:val="22"/>
          <w:szCs w:val="22"/>
          <w:shd w:val="clear" w:color="auto" w:fill="FFFFFF"/>
        </w:rPr>
        <w:t>.</w:t>
      </w:r>
      <w:bookmarkEnd w:id="4"/>
    </w:p>
    <w:p w14:paraId="431962B3" w14:textId="42BC0082" w:rsidR="000C30E7" w:rsidRPr="000C30E7" w:rsidRDefault="000C30E7" w:rsidP="00525FE7">
      <w:pPr>
        <w:jc w:val="both"/>
        <w:rPr>
          <w:sz w:val="22"/>
        </w:rPr>
      </w:pPr>
      <w:r>
        <w:rPr>
          <w:sz w:val="22"/>
          <w:szCs w:val="22"/>
          <w:shd w:val="clear" w:color="auto" w:fill="FFFFFF"/>
        </w:rPr>
        <w:t>Additional s</w:t>
      </w:r>
      <w:r w:rsidRPr="005F6EAF">
        <w:rPr>
          <w:sz w:val="22"/>
          <w:szCs w:val="22"/>
        </w:rPr>
        <w:t xml:space="preserve">ignage </w:t>
      </w:r>
      <w:r>
        <w:rPr>
          <w:sz w:val="22"/>
          <w:szCs w:val="22"/>
        </w:rPr>
        <w:t xml:space="preserve">with project information and a QR code link to the Have Your Say feedback page </w:t>
      </w:r>
      <w:r w:rsidRPr="005F6EAF">
        <w:rPr>
          <w:sz w:val="22"/>
          <w:szCs w:val="22"/>
        </w:rPr>
        <w:t xml:space="preserve">was placed </w:t>
      </w:r>
      <w:r>
        <w:rPr>
          <w:sz w:val="22"/>
          <w:szCs w:val="22"/>
        </w:rPr>
        <w:t xml:space="preserve">in high foot traffic areas of </w:t>
      </w:r>
      <w:r w:rsidRPr="005F6EAF">
        <w:rPr>
          <w:sz w:val="22"/>
          <w:szCs w:val="22"/>
        </w:rPr>
        <w:t xml:space="preserve">all activity centres </w:t>
      </w:r>
      <w:r>
        <w:rPr>
          <w:sz w:val="22"/>
          <w:szCs w:val="22"/>
        </w:rPr>
        <w:t>fo</w:t>
      </w:r>
      <w:r>
        <w:rPr>
          <w:sz w:val="22"/>
        </w:rPr>
        <w:t>r the duration of the engagement campaign.</w:t>
      </w:r>
    </w:p>
    <w:p w14:paraId="0210E0A4" w14:textId="74D75270" w:rsidR="00AE6FE1" w:rsidRDefault="00AE6FE1" w:rsidP="00525FE7">
      <w:pPr>
        <w:jc w:val="both"/>
        <w:rPr>
          <w:sz w:val="22"/>
        </w:rPr>
      </w:pPr>
      <w:r>
        <w:rPr>
          <w:sz w:val="22"/>
        </w:rPr>
        <w:t>At the commencement of the consultation, a campaign news story was published on the Bayside City Council website, and this was further promoted through a feature article in Council’s weekly e-news, This Week in Bayside, as well as featuring in</w:t>
      </w:r>
      <w:r w:rsidR="000C30E7">
        <w:rPr>
          <w:sz w:val="22"/>
        </w:rPr>
        <w:t xml:space="preserve"> the</w:t>
      </w:r>
      <w:r>
        <w:rPr>
          <w:sz w:val="22"/>
        </w:rPr>
        <w:t xml:space="preserve"> e-news “Projects open for feedback” section in an additional three publications (11,000</w:t>
      </w:r>
      <w:r w:rsidR="000C30E7">
        <w:rPr>
          <w:sz w:val="22"/>
        </w:rPr>
        <w:t>+</w:t>
      </w:r>
      <w:r>
        <w:rPr>
          <w:sz w:val="22"/>
        </w:rPr>
        <w:t xml:space="preserve"> e-news subscribers).</w:t>
      </w:r>
    </w:p>
    <w:p w14:paraId="488C0A16" w14:textId="6CA1D502" w:rsidR="00890F5D" w:rsidRDefault="00AE6FE1" w:rsidP="00525FE7">
      <w:pPr>
        <w:jc w:val="both"/>
        <w:rPr>
          <w:sz w:val="22"/>
          <w:szCs w:val="22"/>
        </w:rPr>
      </w:pPr>
      <w:r>
        <w:rPr>
          <w:sz w:val="22"/>
        </w:rPr>
        <w:t xml:space="preserve">Two campaign social media posts </w:t>
      </w:r>
      <w:r w:rsidR="000C30E7">
        <w:rPr>
          <w:sz w:val="22"/>
        </w:rPr>
        <w:t xml:space="preserve">on </w:t>
      </w:r>
      <w:r>
        <w:rPr>
          <w:sz w:val="22"/>
        </w:rPr>
        <w:t>Bayside channels and a feature article in Council’s weekly staff e-news, In the Loop, also promoted the campaign.</w:t>
      </w:r>
    </w:p>
    <w:p w14:paraId="2E4C9FD2" w14:textId="703B6392" w:rsidR="00B33EB8" w:rsidRDefault="00B33EB8" w:rsidP="00525FE7">
      <w:pPr>
        <w:jc w:val="both"/>
        <w:rPr>
          <w:sz w:val="22"/>
        </w:rPr>
      </w:pPr>
      <w:r w:rsidRPr="00F81021">
        <w:rPr>
          <w:sz w:val="22"/>
        </w:rPr>
        <w:t xml:space="preserve">Interested participants </w:t>
      </w:r>
      <w:r w:rsidR="000C30E7">
        <w:rPr>
          <w:sz w:val="22"/>
        </w:rPr>
        <w:t>had the opportunity to</w:t>
      </w:r>
      <w:r w:rsidRPr="00F81021">
        <w:rPr>
          <w:sz w:val="22"/>
        </w:rPr>
        <w:t xml:space="preserve"> engage directly with Council through the online engagement tool Have Your Say, including </w:t>
      </w:r>
      <w:r w:rsidR="000C30E7">
        <w:rPr>
          <w:sz w:val="22"/>
        </w:rPr>
        <w:t>the</w:t>
      </w:r>
      <w:r w:rsidRPr="00F81021">
        <w:rPr>
          <w:sz w:val="22"/>
        </w:rPr>
        <w:t xml:space="preserve"> </w:t>
      </w:r>
      <w:r w:rsidR="000C30E7">
        <w:rPr>
          <w:sz w:val="22"/>
        </w:rPr>
        <w:t>A</w:t>
      </w:r>
      <w:r w:rsidRPr="00F81021">
        <w:rPr>
          <w:sz w:val="22"/>
        </w:rPr>
        <w:t>sk</w:t>
      </w:r>
      <w:r w:rsidR="000C30E7">
        <w:rPr>
          <w:sz w:val="22"/>
        </w:rPr>
        <w:t xml:space="preserve"> a</w:t>
      </w:r>
      <w:r w:rsidRPr="00F81021">
        <w:rPr>
          <w:sz w:val="22"/>
        </w:rPr>
        <w:t xml:space="preserve"> </w:t>
      </w:r>
      <w:r w:rsidR="000C30E7">
        <w:rPr>
          <w:sz w:val="22"/>
        </w:rPr>
        <w:t>Q</w:t>
      </w:r>
      <w:r w:rsidRPr="00F81021">
        <w:rPr>
          <w:sz w:val="22"/>
        </w:rPr>
        <w:t>uestion</w:t>
      </w:r>
      <w:r w:rsidR="000C30E7">
        <w:rPr>
          <w:sz w:val="22"/>
        </w:rPr>
        <w:t xml:space="preserve"> forum</w:t>
      </w:r>
      <w:r w:rsidRPr="00F81021">
        <w:rPr>
          <w:sz w:val="22"/>
        </w:rPr>
        <w:t xml:space="preserve">, </w:t>
      </w:r>
      <w:r w:rsidR="000C30E7">
        <w:rPr>
          <w:sz w:val="22"/>
        </w:rPr>
        <w:t xml:space="preserve">and </w:t>
      </w:r>
      <w:r w:rsidRPr="00F81021">
        <w:rPr>
          <w:sz w:val="22"/>
        </w:rPr>
        <w:t>bookable meetings with</w:t>
      </w:r>
      <w:r w:rsidR="00AE7367">
        <w:rPr>
          <w:sz w:val="22"/>
        </w:rPr>
        <w:t xml:space="preserve"> Council’s Place</w:t>
      </w:r>
      <w:r w:rsidR="00E73843">
        <w:rPr>
          <w:sz w:val="22"/>
        </w:rPr>
        <w:t xml:space="preserve"> M</w:t>
      </w:r>
      <w:r w:rsidR="00AE7367">
        <w:rPr>
          <w:sz w:val="22"/>
        </w:rPr>
        <w:t>aker</w:t>
      </w:r>
      <w:r w:rsidRPr="00F81021">
        <w:rPr>
          <w:sz w:val="22"/>
        </w:rPr>
        <w:t>.</w:t>
      </w:r>
    </w:p>
    <w:p w14:paraId="4C9BF7AE" w14:textId="77777777" w:rsidR="00B33EB8" w:rsidRDefault="00B33EB8" w:rsidP="00525FE7">
      <w:pPr>
        <w:jc w:val="both"/>
        <w:rPr>
          <w:sz w:val="22"/>
        </w:rPr>
      </w:pPr>
      <w:r w:rsidRPr="00F81021">
        <w:rPr>
          <w:sz w:val="22"/>
        </w:rPr>
        <w:t>The survey was available in accessible formats on request.</w:t>
      </w:r>
    </w:p>
    <w:p w14:paraId="71BFC43B" w14:textId="77777777" w:rsidR="00541F49" w:rsidRPr="00F81021" w:rsidRDefault="00541F49" w:rsidP="00525FE7">
      <w:pPr>
        <w:jc w:val="both"/>
        <w:rPr>
          <w:sz w:val="22"/>
        </w:rPr>
      </w:pPr>
    </w:p>
    <w:p w14:paraId="1B31409D" w14:textId="7182AA37" w:rsidR="009120B9" w:rsidRPr="00B5258A" w:rsidRDefault="009120B9" w:rsidP="000807D2">
      <w:pPr>
        <w:pStyle w:val="Heading1"/>
        <w:rPr>
          <w:sz w:val="28"/>
        </w:rPr>
      </w:pPr>
      <w:bookmarkStart w:id="5" w:name="_Toc500947194"/>
      <w:r w:rsidRPr="00B5258A">
        <w:rPr>
          <w:sz w:val="28"/>
        </w:rPr>
        <w:t>Participant profile</w:t>
      </w:r>
      <w:bookmarkEnd w:id="5"/>
    </w:p>
    <w:p w14:paraId="352F8972" w14:textId="18A0E711" w:rsidR="00887F16" w:rsidRDefault="00887F16" w:rsidP="00E7063D">
      <w:pPr>
        <w:jc w:val="both"/>
        <w:rPr>
          <w:sz w:val="22"/>
        </w:rPr>
      </w:pPr>
      <w:bookmarkStart w:id="6" w:name="_Toc500947195"/>
    </w:p>
    <w:p w14:paraId="30CCAD98" w14:textId="2139E4F9" w:rsidR="00CE0A4A" w:rsidRDefault="00CE0A4A" w:rsidP="00E7063D">
      <w:pPr>
        <w:jc w:val="both"/>
        <w:rPr>
          <w:sz w:val="22"/>
        </w:rPr>
      </w:pPr>
      <w:r>
        <w:rPr>
          <w:sz w:val="22"/>
        </w:rPr>
        <w:t xml:space="preserve">A total of </w:t>
      </w:r>
      <w:r w:rsidR="00E73843">
        <w:rPr>
          <w:sz w:val="22"/>
        </w:rPr>
        <w:t xml:space="preserve">374 </w:t>
      </w:r>
      <w:r>
        <w:rPr>
          <w:sz w:val="22"/>
        </w:rPr>
        <w:t>respondents were surveyed via an intercept survey method on-site across each of the seven activity centres, with the demographic and location breakdown as outlined in the following table</w:t>
      </w:r>
      <w:r w:rsidR="003442B7">
        <w:rPr>
          <w:sz w:val="22"/>
        </w:rPr>
        <w:t>,</w:t>
      </w:r>
    </w:p>
    <w:p w14:paraId="4D46BB13" w14:textId="71AF1A84" w:rsidR="003442B7" w:rsidRDefault="003442B7" w:rsidP="00E7063D">
      <w:pPr>
        <w:jc w:val="both"/>
        <w:rPr>
          <w:sz w:val="22"/>
        </w:rPr>
      </w:pPr>
      <w:r>
        <w:rPr>
          <w:sz w:val="22"/>
        </w:rPr>
        <w:t xml:space="preserve">It is noted that the intercept survey respondents were comprised of </w:t>
      </w:r>
      <w:r w:rsidR="00C27F7F">
        <w:rPr>
          <w:sz w:val="22"/>
        </w:rPr>
        <w:t>an</w:t>
      </w:r>
      <w:r>
        <w:rPr>
          <w:sz w:val="22"/>
        </w:rPr>
        <w:t xml:space="preserve"> age and gender profile that was significantly closer to that of Bayside</w:t>
      </w:r>
      <w:r w:rsidR="00890F5D">
        <w:rPr>
          <w:sz w:val="22"/>
        </w:rPr>
        <w:t xml:space="preserve"> City Council</w:t>
      </w:r>
      <w:r>
        <w:rPr>
          <w:sz w:val="22"/>
        </w:rPr>
        <w:t xml:space="preserve"> community as recorded in the</w:t>
      </w:r>
      <w:r w:rsidR="00E73843">
        <w:rPr>
          <w:sz w:val="22"/>
        </w:rPr>
        <w:t xml:space="preserve"> 2021</w:t>
      </w:r>
      <w:r>
        <w:rPr>
          <w:sz w:val="22"/>
        </w:rPr>
        <w:t xml:space="preserve"> Census. </w:t>
      </w:r>
      <w:r w:rsidR="008C6D26">
        <w:rPr>
          <w:sz w:val="22"/>
        </w:rPr>
        <w:t>This reflects the random-sample nature of the intercept surveys compared to the self-selection method underpinning the online survey program.</w:t>
      </w:r>
    </w:p>
    <w:p w14:paraId="600689E3" w14:textId="0DA5C616" w:rsidR="003442B7" w:rsidRDefault="003442B7" w:rsidP="00E7063D">
      <w:pPr>
        <w:jc w:val="both"/>
        <w:rPr>
          <w:sz w:val="22"/>
        </w:rPr>
      </w:pPr>
      <w:r>
        <w:rPr>
          <w:sz w:val="22"/>
        </w:rPr>
        <w:t xml:space="preserve">It is however important to recognise that the age and gender profile of </w:t>
      </w:r>
      <w:r w:rsidR="001B2283">
        <w:rPr>
          <w:sz w:val="22"/>
        </w:rPr>
        <w:t xml:space="preserve">visitors to the seven centres will not match with the underlying community, as the centres attract </w:t>
      </w:r>
      <w:r w:rsidR="00890F5D">
        <w:rPr>
          <w:sz w:val="22"/>
        </w:rPr>
        <w:t xml:space="preserve">both Bayside residents and </w:t>
      </w:r>
      <w:r w:rsidR="001B2283">
        <w:rPr>
          <w:sz w:val="22"/>
        </w:rPr>
        <w:t>visitors.</w:t>
      </w:r>
    </w:p>
    <w:tbl>
      <w:tblPr>
        <w:tblStyle w:val="ListTable1Light-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241"/>
        <w:gridCol w:w="1819"/>
        <w:gridCol w:w="2247"/>
        <w:gridCol w:w="2096"/>
      </w:tblGrid>
      <w:tr w:rsidR="00FD0B86" w:rsidRPr="00B5258A" w14:paraId="1E8D31A5" w14:textId="530BC50F" w:rsidTr="00D611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4" w:type="dxa"/>
            <w:tcBorders>
              <w:bottom w:val="none" w:sz="0" w:space="0" w:color="auto"/>
            </w:tcBorders>
          </w:tcPr>
          <w:p w14:paraId="39BE62D6" w14:textId="77777777" w:rsidR="00FD0B86" w:rsidRPr="00B5258A" w:rsidRDefault="00FD0B86" w:rsidP="001F62F2">
            <w:pPr>
              <w:spacing w:before="60" w:after="60"/>
              <w:rPr>
                <w:sz w:val="22"/>
              </w:rPr>
            </w:pPr>
          </w:p>
        </w:tc>
        <w:tc>
          <w:tcPr>
            <w:tcW w:w="2241" w:type="dxa"/>
            <w:tcBorders>
              <w:bottom w:val="none" w:sz="0" w:space="0" w:color="auto"/>
            </w:tcBorders>
          </w:tcPr>
          <w:p w14:paraId="57E28907" w14:textId="77777777" w:rsidR="00FD0B86" w:rsidRPr="00B5258A" w:rsidRDefault="00FD0B86" w:rsidP="001F62F2">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Demographic</w:t>
            </w:r>
          </w:p>
        </w:tc>
        <w:tc>
          <w:tcPr>
            <w:tcW w:w="1819" w:type="dxa"/>
            <w:tcBorders>
              <w:bottom w:val="none" w:sz="0" w:space="0" w:color="auto"/>
            </w:tcBorders>
          </w:tcPr>
          <w:p w14:paraId="28AFC7DB" w14:textId="77777777" w:rsidR="00FD0B86" w:rsidRPr="00B5258A" w:rsidRDefault="00FD0B86" w:rsidP="00FD0B86">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B5258A">
              <w:rPr>
                <w:sz w:val="22"/>
              </w:rPr>
              <w:t>Bayside</w:t>
            </w:r>
          </w:p>
          <w:p w14:paraId="7A92EF20" w14:textId="493A6928" w:rsidR="00FD0B86" w:rsidRPr="00B5258A" w:rsidRDefault="00FD0B86" w:rsidP="00FD0B86">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B5258A">
              <w:rPr>
                <w:sz w:val="22"/>
              </w:rPr>
              <w:t>20</w:t>
            </w:r>
            <w:r w:rsidR="00FD4626">
              <w:rPr>
                <w:sz w:val="22"/>
              </w:rPr>
              <w:t>21</w:t>
            </w:r>
            <w:r w:rsidRPr="00B5258A">
              <w:rPr>
                <w:sz w:val="22"/>
              </w:rPr>
              <w:t xml:space="preserve"> Census</w:t>
            </w:r>
          </w:p>
        </w:tc>
        <w:tc>
          <w:tcPr>
            <w:tcW w:w="2246" w:type="dxa"/>
            <w:tcBorders>
              <w:bottom w:val="none" w:sz="0" w:space="0" w:color="auto"/>
            </w:tcBorders>
          </w:tcPr>
          <w:p w14:paraId="71ECA545" w14:textId="134DAE84" w:rsidR="00FD0B86" w:rsidRPr="00B5258A" w:rsidRDefault="00FD0B86" w:rsidP="00FD0B86">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Pr>
                <w:sz w:val="22"/>
              </w:rPr>
              <w:t xml:space="preserve">Intercept survey respondents </w:t>
            </w:r>
            <w:r w:rsidRPr="00B5258A">
              <w:rPr>
                <w:sz w:val="22"/>
              </w:rPr>
              <w:t>(%)</w:t>
            </w:r>
          </w:p>
        </w:tc>
        <w:tc>
          <w:tcPr>
            <w:tcW w:w="2096" w:type="dxa"/>
            <w:tcBorders>
              <w:bottom w:val="none" w:sz="0" w:space="0" w:color="auto"/>
            </w:tcBorders>
          </w:tcPr>
          <w:p w14:paraId="0593BC0D" w14:textId="40C0A3C8" w:rsidR="00FD0B86" w:rsidRPr="00B5258A" w:rsidRDefault="00FD0B86" w:rsidP="00FD0B86">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Pr>
                <w:sz w:val="22"/>
              </w:rPr>
              <w:t>Online survey respondents (%)</w:t>
            </w:r>
          </w:p>
        </w:tc>
      </w:tr>
      <w:tr w:rsidR="00FD0B86" w:rsidRPr="00B5258A" w14:paraId="291E7282" w14:textId="2FBD9F1A" w:rsidTr="00D611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4" w:type="dxa"/>
            <w:vMerge w:val="restart"/>
            <w:shd w:val="clear" w:color="auto" w:fill="auto"/>
            <w:textDirection w:val="btLr"/>
          </w:tcPr>
          <w:p w14:paraId="29B637DF" w14:textId="77777777" w:rsidR="00FD0B86" w:rsidRPr="00B5258A" w:rsidRDefault="00FD0B86" w:rsidP="001F62F2">
            <w:pPr>
              <w:spacing w:before="60" w:after="60"/>
              <w:ind w:left="113" w:right="113"/>
              <w:jc w:val="center"/>
              <w:rPr>
                <w:sz w:val="22"/>
              </w:rPr>
            </w:pPr>
            <w:r w:rsidRPr="00B5258A">
              <w:rPr>
                <w:sz w:val="22"/>
              </w:rPr>
              <w:t>Gender</w:t>
            </w:r>
          </w:p>
        </w:tc>
        <w:tc>
          <w:tcPr>
            <w:tcW w:w="2241" w:type="dxa"/>
          </w:tcPr>
          <w:p w14:paraId="4E8A30F0" w14:textId="77777777" w:rsidR="00FD0B86" w:rsidRPr="00B5258A" w:rsidRDefault="00FD0B86" w:rsidP="001F62F2">
            <w:pPr>
              <w:spacing w:before="60" w:after="60"/>
              <w:cnfStyle w:val="000000100000" w:firstRow="0" w:lastRow="0" w:firstColumn="0" w:lastColumn="0" w:oddVBand="0" w:evenVBand="0" w:oddHBand="1" w:evenHBand="0" w:firstRowFirstColumn="0" w:firstRowLastColumn="0" w:lastRowFirstColumn="0" w:lastRowLastColumn="0"/>
              <w:rPr>
                <w:sz w:val="22"/>
              </w:rPr>
            </w:pPr>
            <w:r w:rsidRPr="00B5258A">
              <w:rPr>
                <w:sz w:val="22"/>
              </w:rPr>
              <w:t>Male</w:t>
            </w:r>
          </w:p>
        </w:tc>
        <w:tc>
          <w:tcPr>
            <w:tcW w:w="1819" w:type="dxa"/>
          </w:tcPr>
          <w:p w14:paraId="2684599B" w14:textId="381EAC2D" w:rsidR="00FD0B86" w:rsidRPr="00B5258A" w:rsidRDefault="00FD0B86"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Pr>
                <w:sz w:val="22"/>
              </w:rPr>
              <w:t>48</w:t>
            </w:r>
            <w:r w:rsidRPr="00B5258A">
              <w:rPr>
                <w:sz w:val="22"/>
              </w:rPr>
              <w:t>%</w:t>
            </w:r>
          </w:p>
        </w:tc>
        <w:tc>
          <w:tcPr>
            <w:tcW w:w="2246" w:type="dxa"/>
          </w:tcPr>
          <w:p w14:paraId="3E6E50CC" w14:textId="1090318B" w:rsidR="00FD0B86" w:rsidRPr="00B5258A" w:rsidRDefault="00CF2CCD"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Pr>
                <w:sz w:val="22"/>
              </w:rPr>
              <w:t>53%</w:t>
            </w:r>
          </w:p>
        </w:tc>
        <w:tc>
          <w:tcPr>
            <w:tcW w:w="2096" w:type="dxa"/>
          </w:tcPr>
          <w:p w14:paraId="188D7D91" w14:textId="3F66BB16" w:rsidR="00FD0B86" w:rsidRDefault="00CF2CCD"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Pr>
                <w:sz w:val="22"/>
              </w:rPr>
              <w:t>34%</w:t>
            </w:r>
          </w:p>
        </w:tc>
      </w:tr>
      <w:tr w:rsidR="00FD0B86" w:rsidRPr="00B5258A" w14:paraId="21703AC3" w14:textId="5D1D1240" w:rsidTr="00D6116B">
        <w:trPr>
          <w:jc w:val="center"/>
        </w:trPr>
        <w:tc>
          <w:tcPr>
            <w:cnfStyle w:val="001000000000" w:firstRow="0" w:lastRow="0" w:firstColumn="1" w:lastColumn="0" w:oddVBand="0" w:evenVBand="0" w:oddHBand="0" w:evenHBand="0" w:firstRowFirstColumn="0" w:firstRowLastColumn="0" w:lastRowFirstColumn="0" w:lastRowLastColumn="0"/>
            <w:tcW w:w="614" w:type="dxa"/>
            <w:vMerge/>
            <w:shd w:val="clear" w:color="auto" w:fill="auto"/>
            <w:textDirection w:val="btLr"/>
          </w:tcPr>
          <w:p w14:paraId="101BBB3F" w14:textId="77777777" w:rsidR="00FD0B86" w:rsidRPr="00B5258A" w:rsidRDefault="00FD0B86" w:rsidP="001F62F2">
            <w:pPr>
              <w:spacing w:before="60" w:after="60"/>
              <w:ind w:left="113" w:right="113"/>
              <w:jc w:val="center"/>
              <w:rPr>
                <w:sz w:val="22"/>
              </w:rPr>
            </w:pPr>
          </w:p>
        </w:tc>
        <w:tc>
          <w:tcPr>
            <w:tcW w:w="2241" w:type="dxa"/>
          </w:tcPr>
          <w:p w14:paraId="12EB2772" w14:textId="77777777" w:rsidR="00FD0B86" w:rsidRPr="00B5258A" w:rsidRDefault="00FD0B86" w:rsidP="001F62F2">
            <w:pPr>
              <w:spacing w:before="60" w:after="60"/>
              <w:cnfStyle w:val="000000000000" w:firstRow="0" w:lastRow="0" w:firstColumn="0" w:lastColumn="0" w:oddVBand="0" w:evenVBand="0" w:oddHBand="0" w:evenHBand="0" w:firstRowFirstColumn="0" w:firstRowLastColumn="0" w:lastRowFirstColumn="0" w:lastRowLastColumn="0"/>
              <w:rPr>
                <w:sz w:val="22"/>
              </w:rPr>
            </w:pPr>
            <w:r w:rsidRPr="00B5258A">
              <w:rPr>
                <w:sz w:val="22"/>
              </w:rPr>
              <w:t>Female</w:t>
            </w:r>
          </w:p>
        </w:tc>
        <w:tc>
          <w:tcPr>
            <w:tcW w:w="1819" w:type="dxa"/>
          </w:tcPr>
          <w:p w14:paraId="625505CC" w14:textId="6368C062" w:rsidR="00FD0B86" w:rsidRPr="00B5258A" w:rsidRDefault="00FD0B86"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sidRPr="00B5258A">
              <w:rPr>
                <w:sz w:val="22"/>
              </w:rPr>
              <w:t>52%</w:t>
            </w:r>
          </w:p>
        </w:tc>
        <w:tc>
          <w:tcPr>
            <w:tcW w:w="2246" w:type="dxa"/>
          </w:tcPr>
          <w:p w14:paraId="72CC4497" w14:textId="7A76405D" w:rsidR="00FD0B86" w:rsidRPr="00B5258A" w:rsidRDefault="00CF2CCD"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Pr>
                <w:sz w:val="22"/>
              </w:rPr>
              <w:t>47%</w:t>
            </w:r>
          </w:p>
        </w:tc>
        <w:tc>
          <w:tcPr>
            <w:tcW w:w="2096" w:type="dxa"/>
          </w:tcPr>
          <w:p w14:paraId="3F520B0D" w14:textId="7113DC78" w:rsidR="00FD0B86" w:rsidRDefault="00CF2CCD"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Pr>
                <w:sz w:val="22"/>
              </w:rPr>
              <w:t>66%</w:t>
            </w:r>
          </w:p>
        </w:tc>
      </w:tr>
      <w:tr w:rsidR="00FD0B86" w:rsidRPr="00B5258A" w14:paraId="2BCDFBBB" w14:textId="6564D63D" w:rsidTr="00D611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4" w:type="dxa"/>
            <w:vMerge/>
            <w:shd w:val="clear" w:color="auto" w:fill="auto"/>
            <w:textDirection w:val="btLr"/>
          </w:tcPr>
          <w:p w14:paraId="698AFF83" w14:textId="77777777" w:rsidR="00FD0B86" w:rsidRPr="00B5258A" w:rsidRDefault="00FD0B86" w:rsidP="001F62F2">
            <w:pPr>
              <w:spacing w:before="60" w:after="60"/>
              <w:ind w:left="113" w:right="113"/>
              <w:jc w:val="center"/>
              <w:rPr>
                <w:sz w:val="22"/>
              </w:rPr>
            </w:pPr>
          </w:p>
        </w:tc>
        <w:tc>
          <w:tcPr>
            <w:tcW w:w="2241" w:type="dxa"/>
          </w:tcPr>
          <w:p w14:paraId="14793908" w14:textId="75C8DBB2" w:rsidR="00FD0B86" w:rsidRPr="00B5258A" w:rsidRDefault="00D6116B" w:rsidP="001F62F2">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Self-describe</w:t>
            </w:r>
          </w:p>
        </w:tc>
        <w:tc>
          <w:tcPr>
            <w:tcW w:w="1819" w:type="dxa"/>
          </w:tcPr>
          <w:p w14:paraId="098DA5BA" w14:textId="77777777" w:rsidR="00FD0B86" w:rsidRPr="00B5258A" w:rsidRDefault="00FD0B86"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B5258A">
              <w:rPr>
                <w:sz w:val="22"/>
              </w:rPr>
              <w:t>-</w:t>
            </w:r>
          </w:p>
        </w:tc>
        <w:tc>
          <w:tcPr>
            <w:tcW w:w="2246" w:type="dxa"/>
          </w:tcPr>
          <w:p w14:paraId="1A1B7E6E" w14:textId="24A6CF60" w:rsidR="00FD0B86" w:rsidRPr="00B5258A" w:rsidRDefault="00CF2CCD"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2096" w:type="dxa"/>
          </w:tcPr>
          <w:p w14:paraId="687BBF12" w14:textId="5B734BAA" w:rsidR="00FD0B86" w:rsidRDefault="00CF2CCD"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FD0B86" w:rsidRPr="00B5258A" w14:paraId="2EF461D6" w14:textId="06B0C011" w:rsidTr="00D6116B">
        <w:trPr>
          <w:jc w:val="center"/>
        </w:trPr>
        <w:tc>
          <w:tcPr>
            <w:cnfStyle w:val="001000000000" w:firstRow="0" w:lastRow="0" w:firstColumn="1" w:lastColumn="0" w:oddVBand="0" w:evenVBand="0" w:oddHBand="0" w:evenHBand="0" w:firstRowFirstColumn="0" w:firstRowLastColumn="0" w:lastRowFirstColumn="0" w:lastRowLastColumn="0"/>
            <w:tcW w:w="614" w:type="dxa"/>
            <w:vMerge/>
            <w:shd w:val="clear" w:color="auto" w:fill="auto"/>
            <w:textDirection w:val="btLr"/>
          </w:tcPr>
          <w:p w14:paraId="183F1080" w14:textId="77777777" w:rsidR="00FD0B86" w:rsidRPr="00B5258A" w:rsidRDefault="00FD0B86" w:rsidP="001F62F2">
            <w:pPr>
              <w:spacing w:before="60" w:after="60"/>
              <w:ind w:left="113" w:right="113"/>
              <w:jc w:val="center"/>
              <w:rPr>
                <w:sz w:val="22"/>
              </w:rPr>
            </w:pPr>
          </w:p>
        </w:tc>
        <w:tc>
          <w:tcPr>
            <w:tcW w:w="2241" w:type="dxa"/>
          </w:tcPr>
          <w:p w14:paraId="4668B0A1" w14:textId="6C667481" w:rsidR="00FD0B86" w:rsidRPr="00B5258A" w:rsidRDefault="00D6116B" w:rsidP="001F62F2">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Prefer not to say</w:t>
            </w:r>
          </w:p>
        </w:tc>
        <w:tc>
          <w:tcPr>
            <w:tcW w:w="1819" w:type="dxa"/>
          </w:tcPr>
          <w:p w14:paraId="394CD7D2" w14:textId="77777777" w:rsidR="00FD0B86" w:rsidRPr="00B5258A" w:rsidRDefault="00FD0B86"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sidRPr="00B5258A">
              <w:rPr>
                <w:sz w:val="22"/>
              </w:rPr>
              <w:t>-</w:t>
            </w:r>
          </w:p>
        </w:tc>
        <w:tc>
          <w:tcPr>
            <w:tcW w:w="2246" w:type="dxa"/>
          </w:tcPr>
          <w:p w14:paraId="54006A21" w14:textId="0955289C" w:rsidR="00FD0B86" w:rsidRPr="00B5258A" w:rsidRDefault="00CF2CCD"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2096" w:type="dxa"/>
          </w:tcPr>
          <w:p w14:paraId="45C50891" w14:textId="5F251179" w:rsidR="00FD0B86" w:rsidRDefault="00CF2CCD"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0E39DB" w:rsidRPr="00B5258A" w14:paraId="7B6F7A49" w14:textId="2DDEF9FE" w:rsidTr="00D611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4" w:type="dxa"/>
            <w:vMerge w:val="restart"/>
            <w:shd w:val="clear" w:color="auto" w:fill="auto"/>
            <w:textDirection w:val="btLr"/>
          </w:tcPr>
          <w:p w14:paraId="705A0D28" w14:textId="77777777" w:rsidR="000E39DB" w:rsidRPr="00B5258A" w:rsidRDefault="000E39DB" w:rsidP="001F62F2">
            <w:pPr>
              <w:spacing w:before="60" w:after="60"/>
              <w:ind w:left="113" w:right="113"/>
              <w:jc w:val="center"/>
              <w:rPr>
                <w:sz w:val="22"/>
              </w:rPr>
            </w:pPr>
            <w:r w:rsidRPr="00B5258A">
              <w:rPr>
                <w:sz w:val="22"/>
              </w:rPr>
              <w:t>Age</w:t>
            </w:r>
          </w:p>
        </w:tc>
        <w:tc>
          <w:tcPr>
            <w:tcW w:w="2241" w:type="dxa"/>
            <w:vAlign w:val="bottom"/>
          </w:tcPr>
          <w:p w14:paraId="49B79D22" w14:textId="27D9B16C" w:rsidR="000E39DB" w:rsidRPr="001B2283" w:rsidRDefault="000E39DB" w:rsidP="001F62F2">
            <w:pPr>
              <w:spacing w:before="60" w:after="60"/>
              <w:cnfStyle w:val="000000100000" w:firstRow="0" w:lastRow="0" w:firstColumn="0" w:lastColumn="0" w:oddVBand="0" w:evenVBand="0" w:oddHBand="1" w:evenHBand="0" w:firstRowFirstColumn="0" w:firstRowLastColumn="0" w:lastRowFirstColumn="0" w:lastRowLastColumn="0"/>
              <w:rPr>
                <w:sz w:val="22"/>
              </w:rPr>
            </w:pPr>
            <w:r w:rsidRPr="001B2283">
              <w:rPr>
                <w:sz w:val="22"/>
              </w:rPr>
              <w:t>18 to 34 years</w:t>
            </w:r>
          </w:p>
        </w:tc>
        <w:tc>
          <w:tcPr>
            <w:tcW w:w="1819" w:type="dxa"/>
            <w:vAlign w:val="bottom"/>
          </w:tcPr>
          <w:p w14:paraId="241406E2" w14:textId="4C6D1169" w:rsidR="000E39DB" w:rsidRPr="001B2283" w:rsidRDefault="000E39DB"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1B2283">
              <w:rPr>
                <w:sz w:val="22"/>
              </w:rPr>
              <w:t>20%</w:t>
            </w:r>
          </w:p>
        </w:tc>
        <w:tc>
          <w:tcPr>
            <w:tcW w:w="2246" w:type="dxa"/>
            <w:vAlign w:val="center"/>
          </w:tcPr>
          <w:p w14:paraId="2F58C44D" w14:textId="3F430441" w:rsidR="000E39DB" w:rsidRPr="001B2283" w:rsidRDefault="00413633"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1B2283">
              <w:rPr>
                <w:sz w:val="22"/>
              </w:rPr>
              <w:t>13%</w:t>
            </w:r>
          </w:p>
        </w:tc>
        <w:tc>
          <w:tcPr>
            <w:tcW w:w="2096" w:type="dxa"/>
          </w:tcPr>
          <w:p w14:paraId="5E2953F2" w14:textId="692A3B30" w:rsidR="000E39DB" w:rsidRPr="001B2283" w:rsidRDefault="00CF2CCD"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1B2283">
              <w:rPr>
                <w:sz w:val="22"/>
              </w:rPr>
              <w:t>6%</w:t>
            </w:r>
          </w:p>
        </w:tc>
      </w:tr>
      <w:tr w:rsidR="000E39DB" w:rsidRPr="00B5258A" w14:paraId="176BB153" w14:textId="54C710F4" w:rsidTr="00D6116B">
        <w:trPr>
          <w:jc w:val="center"/>
        </w:trPr>
        <w:tc>
          <w:tcPr>
            <w:cnfStyle w:val="001000000000" w:firstRow="0" w:lastRow="0" w:firstColumn="1" w:lastColumn="0" w:oddVBand="0" w:evenVBand="0" w:oddHBand="0" w:evenHBand="0" w:firstRowFirstColumn="0" w:firstRowLastColumn="0" w:lastRowFirstColumn="0" w:lastRowLastColumn="0"/>
            <w:tcW w:w="614" w:type="dxa"/>
            <w:vMerge/>
            <w:shd w:val="clear" w:color="auto" w:fill="auto"/>
            <w:textDirection w:val="btLr"/>
          </w:tcPr>
          <w:p w14:paraId="7EB34B2F" w14:textId="77777777" w:rsidR="000E39DB" w:rsidRPr="00B5258A" w:rsidRDefault="000E39DB" w:rsidP="001F62F2">
            <w:pPr>
              <w:spacing w:before="60" w:after="60"/>
              <w:ind w:left="113" w:right="113"/>
              <w:jc w:val="center"/>
              <w:rPr>
                <w:sz w:val="22"/>
              </w:rPr>
            </w:pPr>
          </w:p>
        </w:tc>
        <w:tc>
          <w:tcPr>
            <w:tcW w:w="2241" w:type="dxa"/>
            <w:vAlign w:val="bottom"/>
          </w:tcPr>
          <w:p w14:paraId="3F585644" w14:textId="3D711A67" w:rsidR="000E39DB" w:rsidRPr="001B2283" w:rsidRDefault="000E39DB" w:rsidP="001F62F2">
            <w:pPr>
              <w:spacing w:before="60" w:after="60"/>
              <w:cnfStyle w:val="000000000000" w:firstRow="0" w:lastRow="0" w:firstColumn="0" w:lastColumn="0" w:oddVBand="0" w:evenVBand="0" w:oddHBand="0" w:evenHBand="0" w:firstRowFirstColumn="0" w:firstRowLastColumn="0" w:lastRowFirstColumn="0" w:lastRowLastColumn="0"/>
              <w:rPr>
                <w:sz w:val="22"/>
              </w:rPr>
            </w:pPr>
            <w:r w:rsidRPr="001B2283">
              <w:rPr>
                <w:sz w:val="22"/>
              </w:rPr>
              <w:t>35 to 44 years</w:t>
            </w:r>
          </w:p>
        </w:tc>
        <w:tc>
          <w:tcPr>
            <w:tcW w:w="1819" w:type="dxa"/>
            <w:vAlign w:val="bottom"/>
          </w:tcPr>
          <w:p w14:paraId="3AF242D9" w14:textId="7018308D" w:rsidR="000E39DB" w:rsidRPr="001B2283" w:rsidRDefault="000E39DB"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sidRPr="001B2283">
              <w:rPr>
                <w:sz w:val="22"/>
              </w:rPr>
              <w:t>17%</w:t>
            </w:r>
          </w:p>
        </w:tc>
        <w:tc>
          <w:tcPr>
            <w:tcW w:w="2246" w:type="dxa"/>
          </w:tcPr>
          <w:p w14:paraId="7AFB57FE" w14:textId="539D4154" w:rsidR="000E39DB" w:rsidRPr="001B2283" w:rsidRDefault="00CF2CCD"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sidRPr="001B2283">
              <w:rPr>
                <w:sz w:val="22"/>
              </w:rPr>
              <w:t>19%</w:t>
            </w:r>
          </w:p>
        </w:tc>
        <w:tc>
          <w:tcPr>
            <w:tcW w:w="2096" w:type="dxa"/>
          </w:tcPr>
          <w:p w14:paraId="73E24664" w14:textId="78984BCA" w:rsidR="000E39DB" w:rsidRPr="001B2283" w:rsidRDefault="00CF2CCD"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sidRPr="001B2283">
              <w:rPr>
                <w:sz w:val="22"/>
              </w:rPr>
              <w:t>6%</w:t>
            </w:r>
          </w:p>
        </w:tc>
      </w:tr>
      <w:tr w:rsidR="000E39DB" w:rsidRPr="00B5258A" w14:paraId="0CC9E4E1" w14:textId="77777777" w:rsidTr="00D611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4" w:type="dxa"/>
            <w:vMerge/>
            <w:shd w:val="clear" w:color="auto" w:fill="auto"/>
            <w:textDirection w:val="btLr"/>
          </w:tcPr>
          <w:p w14:paraId="145B2CA8" w14:textId="77777777" w:rsidR="000E39DB" w:rsidRPr="00B5258A" w:rsidRDefault="000E39DB" w:rsidP="001F62F2">
            <w:pPr>
              <w:spacing w:before="60" w:after="60"/>
              <w:ind w:left="113" w:right="113"/>
              <w:jc w:val="center"/>
              <w:rPr>
                <w:sz w:val="22"/>
              </w:rPr>
            </w:pPr>
          </w:p>
        </w:tc>
        <w:tc>
          <w:tcPr>
            <w:tcW w:w="2241" w:type="dxa"/>
            <w:vAlign w:val="bottom"/>
          </w:tcPr>
          <w:p w14:paraId="08CCF038" w14:textId="063A7A0E" w:rsidR="000E39DB" w:rsidRPr="001B2283" w:rsidRDefault="000E39DB" w:rsidP="001F62F2">
            <w:pPr>
              <w:spacing w:before="60" w:after="60"/>
              <w:cnfStyle w:val="000000100000" w:firstRow="0" w:lastRow="0" w:firstColumn="0" w:lastColumn="0" w:oddVBand="0" w:evenVBand="0" w:oddHBand="1" w:evenHBand="0" w:firstRowFirstColumn="0" w:firstRowLastColumn="0" w:lastRowFirstColumn="0" w:lastRowLastColumn="0"/>
              <w:rPr>
                <w:sz w:val="22"/>
              </w:rPr>
            </w:pPr>
            <w:r w:rsidRPr="001B2283">
              <w:rPr>
                <w:sz w:val="22"/>
              </w:rPr>
              <w:t>45 to 59 years</w:t>
            </w:r>
          </w:p>
        </w:tc>
        <w:tc>
          <w:tcPr>
            <w:tcW w:w="1819" w:type="dxa"/>
            <w:vAlign w:val="bottom"/>
          </w:tcPr>
          <w:p w14:paraId="392836E3" w14:textId="5350C257" w:rsidR="000E39DB" w:rsidRPr="001B2283" w:rsidRDefault="000E39DB"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1B2283">
              <w:rPr>
                <w:sz w:val="22"/>
              </w:rPr>
              <w:t>30%</w:t>
            </w:r>
          </w:p>
        </w:tc>
        <w:tc>
          <w:tcPr>
            <w:tcW w:w="2246" w:type="dxa"/>
          </w:tcPr>
          <w:p w14:paraId="56CE7230" w14:textId="0E00571F" w:rsidR="000E39DB" w:rsidRPr="001B2283" w:rsidRDefault="003442B7"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1B2283">
              <w:rPr>
                <w:sz w:val="22"/>
              </w:rPr>
              <w:t>26%</w:t>
            </w:r>
          </w:p>
        </w:tc>
        <w:tc>
          <w:tcPr>
            <w:tcW w:w="2096" w:type="dxa"/>
          </w:tcPr>
          <w:p w14:paraId="48FF7F77" w14:textId="3F203799" w:rsidR="000E39DB" w:rsidRPr="001B2283" w:rsidRDefault="003442B7"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1B2283">
              <w:rPr>
                <w:sz w:val="22"/>
              </w:rPr>
              <w:t>40%</w:t>
            </w:r>
          </w:p>
        </w:tc>
      </w:tr>
      <w:tr w:rsidR="000E39DB" w:rsidRPr="00B5258A" w14:paraId="34D93D10" w14:textId="77777777" w:rsidTr="00D6116B">
        <w:trPr>
          <w:jc w:val="center"/>
        </w:trPr>
        <w:tc>
          <w:tcPr>
            <w:cnfStyle w:val="001000000000" w:firstRow="0" w:lastRow="0" w:firstColumn="1" w:lastColumn="0" w:oddVBand="0" w:evenVBand="0" w:oddHBand="0" w:evenHBand="0" w:firstRowFirstColumn="0" w:firstRowLastColumn="0" w:lastRowFirstColumn="0" w:lastRowLastColumn="0"/>
            <w:tcW w:w="614" w:type="dxa"/>
            <w:vMerge/>
            <w:shd w:val="clear" w:color="auto" w:fill="auto"/>
            <w:textDirection w:val="btLr"/>
          </w:tcPr>
          <w:p w14:paraId="72D9DDC3" w14:textId="77777777" w:rsidR="000E39DB" w:rsidRPr="00B5258A" w:rsidRDefault="000E39DB" w:rsidP="001F62F2">
            <w:pPr>
              <w:spacing w:before="60" w:after="60"/>
              <w:ind w:left="113" w:right="113"/>
              <w:jc w:val="center"/>
              <w:rPr>
                <w:sz w:val="22"/>
              </w:rPr>
            </w:pPr>
          </w:p>
        </w:tc>
        <w:tc>
          <w:tcPr>
            <w:tcW w:w="2241" w:type="dxa"/>
            <w:vAlign w:val="bottom"/>
          </w:tcPr>
          <w:p w14:paraId="2B1D712F" w14:textId="5260507A" w:rsidR="000E39DB" w:rsidRPr="001B2283" w:rsidRDefault="000E39DB" w:rsidP="001F62F2">
            <w:pPr>
              <w:spacing w:before="60" w:after="60"/>
              <w:cnfStyle w:val="000000000000" w:firstRow="0" w:lastRow="0" w:firstColumn="0" w:lastColumn="0" w:oddVBand="0" w:evenVBand="0" w:oddHBand="0" w:evenHBand="0" w:firstRowFirstColumn="0" w:firstRowLastColumn="0" w:lastRowFirstColumn="0" w:lastRowLastColumn="0"/>
              <w:rPr>
                <w:sz w:val="22"/>
              </w:rPr>
            </w:pPr>
            <w:r w:rsidRPr="001B2283">
              <w:rPr>
                <w:sz w:val="22"/>
              </w:rPr>
              <w:t>60 to 74 years</w:t>
            </w:r>
          </w:p>
        </w:tc>
        <w:tc>
          <w:tcPr>
            <w:tcW w:w="1819" w:type="dxa"/>
            <w:vAlign w:val="bottom"/>
          </w:tcPr>
          <w:p w14:paraId="238BEEEB" w14:textId="1CDE5B8F" w:rsidR="000E39DB" w:rsidRPr="001B2283" w:rsidRDefault="000E39DB"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sidRPr="001B2283">
              <w:rPr>
                <w:sz w:val="22"/>
              </w:rPr>
              <w:t>21%</w:t>
            </w:r>
          </w:p>
        </w:tc>
        <w:tc>
          <w:tcPr>
            <w:tcW w:w="2246" w:type="dxa"/>
          </w:tcPr>
          <w:p w14:paraId="4A5974DA" w14:textId="75919E41" w:rsidR="000E39DB" w:rsidRPr="001B2283" w:rsidRDefault="003442B7"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sidRPr="001B2283">
              <w:rPr>
                <w:sz w:val="22"/>
              </w:rPr>
              <w:t>29%</w:t>
            </w:r>
          </w:p>
        </w:tc>
        <w:tc>
          <w:tcPr>
            <w:tcW w:w="2096" w:type="dxa"/>
          </w:tcPr>
          <w:p w14:paraId="64E4B3F9" w14:textId="114994B7" w:rsidR="000E39DB" w:rsidRPr="001B2283" w:rsidRDefault="003442B7"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sidRPr="001B2283">
              <w:rPr>
                <w:sz w:val="22"/>
              </w:rPr>
              <w:t>42%</w:t>
            </w:r>
          </w:p>
        </w:tc>
      </w:tr>
      <w:tr w:rsidR="000E39DB" w:rsidRPr="00B5258A" w14:paraId="1BB5F90E" w14:textId="77777777" w:rsidTr="00D611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4" w:type="dxa"/>
            <w:vMerge/>
            <w:shd w:val="clear" w:color="auto" w:fill="auto"/>
            <w:textDirection w:val="btLr"/>
          </w:tcPr>
          <w:p w14:paraId="3E05AF06" w14:textId="77777777" w:rsidR="000E39DB" w:rsidRPr="00B5258A" w:rsidRDefault="000E39DB" w:rsidP="001F62F2">
            <w:pPr>
              <w:spacing w:before="60" w:after="60"/>
              <w:ind w:left="113" w:right="113"/>
              <w:jc w:val="center"/>
              <w:rPr>
                <w:sz w:val="22"/>
              </w:rPr>
            </w:pPr>
          </w:p>
        </w:tc>
        <w:tc>
          <w:tcPr>
            <w:tcW w:w="2241" w:type="dxa"/>
            <w:vAlign w:val="bottom"/>
          </w:tcPr>
          <w:p w14:paraId="7B185184" w14:textId="64500EBA" w:rsidR="000E39DB" w:rsidRPr="001B2283" w:rsidRDefault="000E39DB" w:rsidP="001F62F2">
            <w:pPr>
              <w:spacing w:before="60" w:after="60"/>
              <w:cnfStyle w:val="000000100000" w:firstRow="0" w:lastRow="0" w:firstColumn="0" w:lastColumn="0" w:oddVBand="0" w:evenVBand="0" w:oddHBand="1" w:evenHBand="0" w:firstRowFirstColumn="0" w:firstRowLastColumn="0" w:lastRowFirstColumn="0" w:lastRowLastColumn="0"/>
              <w:rPr>
                <w:sz w:val="22"/>
              </w:rPr>
            </w:pPr>
            <w:r w:rsidRPr="001B2283">
              <w:rPr>
                <w:sz w:val="22"/>
              </w:rPr>
              <w:t>75 years and over</w:t>
            </w:r>
          </w:p>
        </w:tc>
        <w:tc>
          <w:tcPr>
            <w:tcW w:w="1819" w:type="dxa"/>
            <w:vAlign w:val="bottom"/>
          </w:tcPr>
          <w:p w14:paraId="6EFC3B12" w14:textId="2462CD0A" w:rsidR="000E39DB" w:rsidRPr="001B2283" w:rsidRDefault="000E39DB"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1B2283">
              <w:rPr>
                <w:sz w:val="22"/>
              </w:rPr>
              <w:t>12%</w:t>
            </w:r>
          </w:p>
        </w:tc>
        <w:tc>
          <w:tcPr>
            <w:tcW w:w="2246" w:type="dxa"/>
          </w:tcPr>
          <w:p w14:paraId="5D732722" w14:textId="0B9A8FA9" w:rsidR="000E39DB" w:rsidRPr="001B2283" w:rsidRDefault="003442B7"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1B2283">
              <w:rPr>
                <w:sz w:val="22"/>
              </w:rPr>
              <w:t>14%</w:t>
            </w:r>
          </w:p>
        </w:tc>
        <w:tc>
          <w:tcPr>
            <w:tcW w:w="2096" w:type="dxa"/>
          </w:tcPr>
          <w:p w14:paraId="25B13E76" w14:textId="057F354F" w:rsidR="000E39DB" w:rsidRPr="001B2283" w:rsidRDefault="003442B7"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1B2283">
              <w:rPr>
                <w:sz w:val="22"/>
              </w:rPr>
              <w:t>7%</w:t>
            </w:r>
          </w:p>
        </w:tc>
      </w:tr>
      <w:tr w:rsidR="00D6116B" w:rsidRPr="00B5258A" w14:paraId="3AAC8706" w14:textId="5B12281D" w:rsidTr="00FE2BC3">
        <w:trPr>
          <w:jc w:val="center"/>
        </w:trPr>
        <w:tc>
          <w:tcPr>
            <w:cnfStyle w:val="001000000000" w:firstRow="0" w:lastRow="0" w:firstColumn="1" w:lastColumn="0" w:oddVBand="0" w:evenVBand="0" w:oddHBand="0" w:evenHBand="0" w:firstRowFirstColumn="0" w:firstRowLastColumn="0" w:lastRowFirstColumn="0" w:lastRowLastColumn="0"/>
            <w:tcW w:w="614" w:type="dxa"/>
            <w:vMerge w:val="restart"/>
            <w:shd w:val="clear" w:color="auto" w:fill="auto"/>
            <w:textDirection w:val="btLr"/>
          </w:tcPr>
          <w:p w14:paraId="197E6EFB" w14:textId="217B6A2B" w:rsidR="00D6116B" w:rsidRPr="00B5258A" w:rsidRDefault="00D6116B" w:rsidP="001F62F2">
            <w:pPr>
              <w:spacing w:before="60" w:after="60"/>
              <w:ind w:left="113" w:right="113"/>
              <w:jc w:val="center"/>
              <w:rPr>
                <w:sz w:val="22"/>
              </w:rPr>
            </w:pPr>
            <w:r w:rsidRPr="00B5258A">
              <w:rPr>
                <w:sz w:val="22"/>
              </w:rPr>
              <w:t>Suburb</w:t>
            </w:r>
          </w:p>
        </w:tc>
        <w:tc>
          <w:tcPr>
            <w:tcW w:w="2241" w:type="dxa"/>
            <w:shd w:val="clear" w:color="auto" w:fill="C5EFFF" w:themeFill="accent2" w:themeFillTint="33"/>
            <w:vAlign w:val="bottom"/>
          </w:tcPr>
          <w:p w14:paraId="22746502" w14:textId="7F953717" w:rsidR="00D6116B" w:rsidRPr="004A6310" w:rsidRDefault="00D6116B" w:rsidP="001F62F2">
            <w:pPr>
              <w:spacing w:before="60" w:after="60"/>
              <w:cnfStyle w:val="000000000000" w:firstRow="0" w:lastRow="0" w:firstColumn="0" w:lastColumn="0" w:oddVBand="0" w:evenVBand="0" w:oddHBand="0" w:evenHBand="0" w:firstRowFirstColumn="0" w:firstRowLastColumn="0" w:lastRowFirstColumn="0" w:lastRowLastColumn="0"/>
              <w:rPr>
                <w:color w:val="FF0000"/>
                <w:sz w:val="22"/>
              </w:rPr>
            </w:pPr>
            <w:r w:rsidRPr="00B5258A">
              <w:rPr>
                <w:sz w:val="22"/>
              </w:rPr>
              <w:t>Beaumaris</w:t>
            </w:r>
          </w:p>
        </w:tc>
        <w:tc>
          <w:tcPr>
            <w:tcW w:w="1818" w:type="dxa"/>
            <w:shd w:val="clear" w:color="auto" w:fill="C5EFFF" w:themeFill="accent2" w:themeFillTint="33"/>
          </w:tcPr>
          <w:p w14:paraId="6653BEB0" w14:textId="401B5513" w:rsidR="00D6116B" w:rsidRPr="004A6310" w:rsidRDefault="00D6116B" w:rsidP="00FD0B86">
            <w:pPr>
              <w:spacing w:before="60" w:after="60"/>
              <w:jc w:val="center"/>
              <w:cnfStyle w:val="000000000000" w:firstRow="0" w:lastRow="0" w:firstColumn="0" w:lastColumn="0" w:oddVBand="0" w:evenVBand="0" w:oddHBand="0" w:evenHBand="0" w:firstRowFirstColumn="0" w:firstRowLastColumn="0" w:lastRowFirstColumn="0" w:lastRowLastColumn="0"/>
              <w:rPr>
                <w:color w:val="FF0000"/>
                <w:sz w:val="22"/>
              </w:rPr>
            </w:pPr>
            <w:r>
              <w:rPr>
                <w:sz w:val="22"/>
              </w:rPr>
              <w:t>14</w:t>
            </w:r>
            <w:r w:rsidRPr="00B5258A">
              <w:rPr>
                <w:sz w:val="22"/>
              </w:rPr>
              <w:t>%</w:t>
            </w:r>
          </w:p>
        </w:tc>
        <w:tc>
          <w:tcPr>
            <w:tcW w:w="2247" w:type="dxa"/>
            <w:shd w:val="clear" w:color="auto" w:fill="C5EFFF" w:themeFill="accent2" w:themeFillTint="33"/>
          </w:tcPr>
          <w:p w14:paraId="35C75249" w14:textId="2BB65E95" w:rsidR="00D6116B" w:rsidRPr="0065099F" w:rsidRDefault="00FD4626"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sidRPr="0065099F">
              <w:rPr>
                <w:sz w:val="22"/>
              </w:rPr>
              <w:t>9%</w:t>
            </w:r>
          </w:p>
        </w:tc>
        <w:tc>
          <w:tcPr>
            <w:tcW w:w="2096" w:type="dxa"/>
            <w:shd w:val="clear" w:color="auto" w:fill="C5EFFF" w:themeFill="accent2" w:themeFillTint="33"/>
          </w:tcPr>
          <w:p w14:paraId="6299B7AD" w14:textId="04C0DD4D" w:rsidR="00D6116B" w:rsidRPr="0065099F" w:rsidRDefault="00FD4626"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sidRPr="0065099F">
              <w:rPr>
                <w:sz w:val="22"/>
              </w:rPr>
              <w:t>14%</w:t>
            </w:r>
          </w:p>
        </w:tc>
      </w:tr>
      <w:tr w:rsidR="00D6116B" w:rsidRPr="00B5258A" w14:paraId="478258D4" w14:textId="032D982E" w:rsidTr="00FE2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4" w:type="dxa"/>
            <w:vMerge/>
            <w:shd w:val="clear" w:color="auto" w:fill="auto"/>
            <w:textDirection w:val="btLr"/>
          </w:tcPr>
          <w:p w14:paraId="07C4B61E" w14:textId="247E88CF" w:rsidR="00D6116B" w:rsidRPr="00B5258A" w:rsidRDefault="00D6116B" w:rsidP="001F62F2">
            <w:pPr>
              <w:spacing w:before="60" w:after="60"/>
              <w:ind w:left="113" w:right="113"/>
              <w:jc w:val="center"/>
              <w:rPr>
                <w:sz w:val="22"/>
              </w:rPr>
            </w:pPr>
          </w:p>
        </w:tc>
        <w:tc>
          <w:tcPr>
            <w:tcW w:w="2241" w:type="dxa"/>
            <w:shd w:val="clear" w:color="auto" w:fill="auto"/>
          </w:tcPr>
          <w:p w14:paraId="208B5493" w14:textId="28A5280E" w:rsidR="00D6116B" w:rsidRPr="004A6310" w:rsidRDefault="00D6116B" w:rsidP="001F62F2">
            <w:pPr>
              <w:spacing w:before="60" w:after="60"/>
              <w:cnfStyle w:val="000000100000" w:firstRow="0" w:lastRow="0" w:firstColumn="0" w:lastColumn="0" w:oddVBand="0" w:evenVBand="0" w:oddHBand="1" w:evenHBand="0" w:firstRowFirstColumn="0" w:firstRowLastColumn="0" w:lastRowFirstColumn="0" w:lastRowLastColumn="0"/>
              <w:rPr>
                <w:color w:val="FF0000"/>
                <w:sz w:val="22"/>
              </w:rPr>
            </w:pPr>
            <w:r w:rsidRPr="00B5258A">
              <w:rPr>
                <w:sz w:val="22"/>
              </w:rPr>
              <w:t>Black Rock</w:t>
            </w:r>
          </w:p>
        </w:tc>
        <w:tc>
          <w:tcPr>
            <w:tcW w:w="1818" w:type="dxa"/>
            <w:shd w:val="clear" w:color="auto" w:fill="auto"/>
          </w:tcPr>
          <w:p w14:paraId="1C383D4F" w14:textId="55F59C55" w:rsidR="00D6116B" w:rsidRPr="004A6310" w:rsidRDefault="00D6116B" w:rsidP="00FD0B86">
            <w:pPr>
              <w:spacing w:before="60" w:after="60"/>
              <w:jc w:val="center"/>
              <w:cnfStyle w:val="000000100000" w:firstRow="0" w:lastRow="0" w:firstColumn="0" w:lastColumn="0" w:oddVBand="0" w:evenVBand="0" w:oddHBand="1" w:evenHBand="0" w:firstRowFirstColumn="0" w:firstRowLastColumn="0" w:lastRowFirstColumn="0" w:lastRowLastColumn="0"/>
              <w:rPr>
                <w:color w:val="FF0000"/>
                <w:sz w:val="22"/>
              </w:rPr>
            </w:pPr>
            <w:r>
              <w:rPr>
                <w:sz w:val="22"/>
              </w:rPr>
              <w:t>7</w:t>
            </w:r>
            <w:r w:rsidRPr="00B5258A">
              <w:rPr>
                <w:sz w:val="22"/>
              </w:rPr>
              <w:t>%</w:t>
            </w:r>
          </w:p>
        </w:tc>
        <w:tc>
          <w:tcPr>
            <w:tcW w:w="2247" w:type="dxa"/>
            <w:shd w:val="clear" w:color="auto" w:fill="auto"/>
          </w:tcPr>
          <w:p w14:paraId="3494B221" w14:textId="32053651" w:rsidR="00D6116B" w:rsidRPr="0065099F" w:rsidRDefault="00FD4626"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65099F">
              <w:rPr>
                <w:sz w:val="22"/>
              </w:rPr>
              <w:t>14%</w:t>
            </w:r>
          </w:p>
        </w:tc>
        <w:tc>
          <w:tcPr>
            <w:tcW w:w="2096" w:type="dxa"/>
            <w:shd w:val="clear" w:color="auto" w:fill="auto"/>
          </w:tcPr>
          <w:p w14:paraId="0733CDCB" w14:textId="0E7B163C" w:rsidR="00D6116B" w:rsidRPr="0065099F" w:rsidRDefault="00FD4626"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65099F">
              <w:rPr>
                <w:sz w:val="22"/>
              </w:rPr>
              <w:t>8%</w:t>
            </w:r>
          </w:p>
        </w:tc>
      </w:tr>
      <w:tr w:rsidR="00D6116B" w:rsidRPr="00B5258A" w14:paraId="33B86943" w14:textId="664DE255" w:rsidTr="00FE2BC3">
        <w:trPr>
          <w:jc w:val="center"/>
        </w:trPr>
        <w:tc>
          <w:tcPr>
            <w:cnfStyle w:val="001000000000" w:firstRow="0" w:lastRow="0" w:firstColumn="1" w:lastColumn="0" w:oddVBand="0" w:evenVBand="0" w:oddHBand="0" w:evenHBand="0" w:firstRowFirstColumn="0" w:firstRowLastColumn="0" w:lastRowFirstColumn="0" w:lastRowLastColumn="0"/>
            <w:tcW w:w="614" w:type="dxa"/>
            <w:vMerge/>
            <w:shd w:val="clear" w:color="auto" w:fill="auto"/>
            <w:textDirection w:val="btLr"/>
          </w:tcPr>
          <w:p w14:paraId="6E96A9BC" w14:textId="2D906C45" w:rsidR="00D6116B" w:rsidRPr="00B5258A" w:rsidRDefault="00D6116B" w:rsidP="001F62F2">
            <w:pPr>
              <w:spacing w:before="60" w:after="60"/>
              <w:ind w:left="113" w:right="113"/>
              <w:jc w:val="center"/>
              <w:rPr>
                <w:sz w:val="22"/>
              </w:rPr>
            </w:pPr>
          </w:p>
        </w:tc>
        <w:tc>
          <w:tcPr>
            <w:tcW w:w="2241" w:type="dxa"/>
            <w:shd w:val="clear" w:color="auto" w:fill="C5EFFF" w:themeFill="accent2" w:themeFillTint="33"/>
          </w:tcPr>
          <w:p w14:paraId="24FA80A4" w14:textId="27CC404B" w:rsidR="00D6116B" w:rsidRPr="004A6310" w:rsidRDefault="00D6116B" w:rsidP="001F62F2">
            <w:pPr>
              <w:spacing w:before="60" w:after="60"/>
              <w:cnfStyle w:val="000000000000" w:firstRow="0" w:lastRow="0" w:firstColumn="0" w:lastColumn="0" w:oddVBand="0" w:evenVBand="0" w:oddHBand="0" w:evenHBand="0" w:firstRowFirstColumn="0" w:firstRowLastColumn="0" w:lastRowFirstColumn="0" w:lastRowLastColumn="0"/>
              <w:rPr>
                <w:color w:val="FF0000"/>
                <w:sz w:val="22"/>
              </w:rPr>
            </w:pPr>
            <w:r w:rsidRPr="00B5258A">
              <w:rPr>
                <w:sz w:val="22"/>
              </w:rPr>
              <w:t>Brighton</w:t>
            </w:r>
          </w:p>
        </w:tc>
        <w:tc>
          <w:tcPr>
            <w:tcW w:w="1818" w:type="dxa"/>
            <w:shd w:val="clear" w:color="auto" w:fill="C5EFFF" w:themeFill="accent2" w:themeFillTint="33"/>
          </w:tcPr>
          <w:p w14:paraId="3925EA6C" w14:textId="4D82FF13" w:rsidR="00D6116B" w:rsidRPr="004A6310" w:rsidRDefault="00D6116B" w:rsidP="00FD0B86">
            <w:pPr>
              <w:spacing w:before="60" w:after="60"/>
              <w:jc w:val="center"/>
              <w:cnfStyle w:val="000000000000" w:firstRow="0" w:lastRow="0" w:firstColumn="0" w:lastColumn="0" w:oddVBand="0" w:evenVBand="0" w:oddHBand="0" w:evenHBand="0" w:firstRowFirstColumn="0" w:firstRowLastColumn="0" w:lastRowFirstColumn="0" w:lastRowLastColumn="0"/>
              <w:rPr>
                <w:color w:val="FF0000"/>
                <w:sz w:val="22"/>
              </w:rPr>
            </w:pPr>
            <w:r w:rsidRPr="00B5258A">
              <w:rPr>
                <w:sz w:val="22"/>
              </w:rPr>
              <w:t>24%</w:t>
            </w:r>
          </w:p>
        </w:tc>
        <w:tc>
          <w:tcPr>
            <w:tcW w:w="2247" w:type="dxa"/>
            <w:shd w:val="clear" w:color="auto" w:fill="C5EFFF" w:themeFill="accent2" w:themeFillTint="33"/>
          </w:tcPr>
          <w:p w14:paraId="7E9EF8B6" w14:textId="6D8CA90C" w:rsidR="00D6116B" w:rsidRPr="0065099F" w:rsidRDefault="00FD4626"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sidRPr="0065099F">
              <w:rPr>
                <w:sz w:val="22"/>
              </w:rPr>
              <w:t>25%</w:t>
            </w:r>
          </w:p>
        </w:tc>
        <w:tc>
          <w:tcPr>
            <w:tcW w:w="2096" w:type="dxa"/>
            <w:shd w:val="clear" w:color="auto" w:fill="C5EFFF" w:themeFill="accent2" w:themeFillTint="33"/>
          </w:tcPr>
          <w:p w14:paraId="54F0C552" w14:textId="5F8B42C5" w:rsidR="00D6116B" w:rsidRPr="0065099F" w:rsidRDefault="00FD4626"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sidRPr="0065099F">
              <w:rPr>
                <w:sz w:val="22"/>
              </w:rPr>
              <w:t>30%</w:t>
            </w:r>
          </w:p>
        </w:tc>
      </w:tr>
      <w:tr w:rsidR="00D6116B" w:rsidRPr="00B5258A" w14:paraId="63015E7F" w14:textId="5B9296F4" w:rsidTr="00FE2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4" w:type="dxa"/>
            <w:vMerge/>
            <w:shd w:val="clear" w:color="auto" w:fill="auto"/>
            <w:textDirection w:val="btLr"/>
          </w:tcPr>
          <w:p w14:paraId="44AAEEA7" w14:textId="265FA301" w:rsidR="00D6116B" w:rsidRPr="00B5258A" w:rsidRDefault="00D6116B" w:rsidP="001F62F2">
            <w:pPr>
              <w:spacing w:before="60" w:after="60"/>
              <w:ind w:left="113" w:right="113"/>
              <w:jc w:val="center"/>
              <w:rPr>
                <w:sz w:val="22"/>
              </w:rPr>
            </w:pPr>
          </w:p>
        </w:tc>
        <w:tc>
          <w:tcPr>
            <w:tcW w:w="2241" w:type="dxa"/>
            <w:shd w:val="clear" w:color="auto" w:fill="auto"/>
          </w:tcPr>
          <w:p w14:paraId="6C926929" w14:textId="02E01D2A" w:rsidR="00D6116B" w:rsidRPr="004A6310" w:rsidRDefault="00D6116B" w:rsidP="001F62F2">
            <w:pPr>
              <w:spacing w:before="60" w:after="60"/>
              <w:cnfStyle w:val="000000100000" w:firstRow="0" w:lastRow="0" w:firstColumn="0" w:lastColumn="0" w:oddVBand="0" w:evenVBand="0" w:oddHBand="1" w:evenHBand="0" w:firstRowFirstColumn="0" w:firstRowLastColumn="0" w:lastRowFirstColumn="0" w:lastRowLastColumn="0"/>
              <w:rPr>
                <w:color w:val="FF0000"/>
                <w:sz w:val="22"/>
              </w:rPr>
            </w:pPr>
            <w:r w:rsidRPr="00B5258A">
              <w:rPr>
                <w:sz w:val="22"/>
              </w:rPr>
              <w:t>Brighton East</w:t>
            </w:r>
          </w:p>
        </w:tc>
        <w:tc>
          <w:tcPr>
            <w:tcW w:w="1818" w:type="dxa"/>
            <w:shd w:val="clear" w:color="auto" w:fill="auto"/>
          </w:tcPr>
          <w:p w14:paraId="47D94AB2" w14:textId="1B4E7E0E" w:rsidR="00D6116B" w:rsidRPr="004A6310" w:rsidRDefault="00D6116B" w:rsidP="00FD0B86">
            <w:pPr>
              <w:spacing w:before="60" w:after="60"/>
              <w:jc w:val="center"/>
              <w:cnfStyle w:val="000000100000" w:firstRow="0" w:lastRow="0" w:firstColumn="0" w:lastColumn="0" w:oddVBand="0" w:evenVBand="0" w:oddHBand="1" w:evenHBand="0" w:firstRowFirstColumn="0" w:firstRowLastColumn="0" w:lastRowFirstColumn="0" w:lastRowLastColumn="0"/>
              <w:rPr>
                <w:color w:val="FF0000"/>
                <w:sz w:val="22"/>
              </w:rPr>
            </w:pPr>
            <w:r w:rsidRPr="00B5258A">
              <w:rPr>
                <w:sz w:val="22"/>
              </w:rPr>
              <w:t>1</w:t>
            </w:r>
            <w:r>
              <w:rPr>
                <w:sz w:val="22"/>
              </w:rPr>
              <w:t>6</w:t>
            </w:r>
            <w:r w:rsidRPr="00B5258A">
              <w:rPr>
                <w:sz w:val="22"/>
              </w:rPr>
              <w:t>%</w:t>
            </w:r>
          </w:p>
        </w:tc>
        <w:tc>
          <w:tcPr>
            <w:tcW w:w="2247" w:type="dxa"/>
            <w:shd w:val="clear" w:color="auto" w:fill="auto"/>
          </w:tcPr>
          <w:p w14:paraId="761371CB" w14:textId="5C830A6C" w:rsidR="00D6116B" w:rsidRPr="0065099F" w:rsidRDefault="004143FB"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65099F">
              <w:rPr>
                <w:sz w:val="22"/>
              </w:rPr>
              <w:t>6%</w:t>
            </w:r>
          </w:p>
        </w:tc>
        <w:tc>
          <w:tcPr>
            <w:tcW w:w="2096" w:type="dxa"/>
            <w:shd w:val="clear" w:color="auto" w:fill="auto"/>
          </w:tcPr>
          <w:p w14:paraId="21B5F764" w14:textId="1ABB2F23" w:rsidR="00D6116B" w:rsidRPr="0065099F" w:rsidRDefault="004143FB" w:rsidP="00FD0B86">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65099F">
              <w:rPr>
                <w:sz w:val="22"/>
              </w:rPr>
              <w:t>5%</w:t>
            </w:r>
          </w:p>
        </w:tc>
      </w:tr>
      <w:tr w:rsidR="00D6116B" w:rsidRPr="00B5258A" w14:paraId="3AF4CEBC" w14:textId="0E0E365B" w:rsidTr="00FE2BC3">
        <w:trPr>
          <w:jc w:val="center"/>
        </w:trPr>
        <w:tc>
          <w:tcPr>
            <w:cnfStyle w:val="001000000000" w:firstRow="0" w:lastRow="0" w:firstColumn="1" w:lastColumn="0" w:oddVBand="0" w:evenVBand="0" w:oddHBand="0" w:evenHBand="0" w:firstRowFirstColumn="0" w:firstRowLastColumn="0" w:lastRowFirstColumn="0" w:lastRowLastColumn="0"/>
            <w:tcW w:w="614" w:type="dxa"/>
            <w:vMerge/>
            <w:shd w:val="clear" w:color="auto" w:fill="auto"/>
            <w:textDirection w:val="btLr"/>
          </w:tcPr>
          <w:p w14:paraId="469321C0" w14:textId="7B15A793" w:rsidR="00D6116B" w:rsidRPr="00B5258A" w:rsidRDefault="00D6116B" w:rsidP="001F62F2">
            <w:pPr>
              <w:spacing w:before="60" w:after="60"/>
              <w:ind w:left="113" w:right="113"/>
              <w:jc w:val="center"/>
              <w:rPr>
                <w:sz w:val="22"/>
              </w:rPr>
            </w:pPr>
          </w:p>
        </w:tc>
        <w:tc>
          <w:tcPr>
            <w:tcW w:w="2241" w:type="dxa"/>
            <w:shd w:val="clear" w:color="auto" w:fill="C5EFFF" w:themeFill="accent2" w:themeFillTint="33"/>
          </w:tcPr>
          <w:p w14:paraId="1582A702" w14:textId="0CA6428E" w:rsidR="00D6116B" w:rsidRPr="004A6310" w:rsidRDefault="00D6116B" w:rsidP="001F62F2">
            <w:pPr>
              <w:spacing w:before="60" w:after="60"/>
              <w:cnfStyle w:val="000000000000" w:firstRow="0" w:lastRow="0" w:firstColumn="0" w:lastColumn="0" w:oddVBand="0" w:evenVBand="0" w:oddHBand="0" w:evenHBand="0" w:firstRowFirstColumn="0" w:firstRowLastColumn="0" w:lastRowFirstColumn="0" w:lastRowLastColumn="0"/>
              <w:rPr>
                <w:color w:val="FF0000"/>
                <w:sz w:val="22"/>
              </w:rPr>
            </w:pPr>
            <w:r w:rsidRPr="00B5258A">
              <w:rPr>
                <w:sz w:val="22"/>
              </w:rPr>
              <w:t>Cheltenham</w:t>
            </w:r>
          </w:p>
        </w:tc>
        <w:tc>
          <w:tcPr>
            <w:tcW w:w="1818" w:type="dxa"/>
            <w:shd w:val="clear" w:color="auto" w:fill="C5EFFF" w:themeFill="accent2" w:themeFillTint="33"/>
          </w:tcPr>
          <w:p w14:paraId="504DAC8D" w14:textId="6D2C75A3" w:rsidR="00D6116B" w:rsidRPr="004A6310" w:rsidRDefault="00D6116B" w:rsidP="00FD0B86">
            <w:pPr>
              <w:spacing w:before="60" w:after="60"/>
              <w:jc w:val="center"/>
              <w:cnfStyle w:val="000000000000" w:firstRow="0" w:lastRow="0" w:firstColumn="0" w:lastColumn="0" w:oddVBand="0" w:evenVBand="0" w:oddHBand="0" w:evenHBand="0" w:firstRowFirstColumn="0" w:firstRowLastColumn="0" w:lastRowFirstColumn="0" w:lastRowLastColumn="0"/>
              <w:rPr>
                <w:color w:val="FF0000"/>
                <w:sz w:val="22"/>
              </w:rPr>
            </w:pPr>
            <w:r>
              <w:rPr>
                <w:sz w:val="22"/>
              </w:rPr>
              <w:t>4</w:t>
            </w:r>
            <w:r w:rsidRPr="00B5258A">
              <w:rPr>
                <w:sz w:val="22"/>
              </w:rPr>
              <w:t>%</w:t>
            </w:r>
          </w:p>
        </w:tc>
        <w:tc>
          <w:tcPr>
            <w:tcW w:w="2247" w:type="dxa"/>
            <w:shd w:val="clear" w:color="auto" w:fill="C5EFFF" w:themeFill="accent2" w:themeFillTint="33"/>
          </w:tcPr>
          <w:p w14:paraId="4EE1793C" w14:textId="5DADF240" w:rsidR="00D6116B" w:rsidRPr="0065099F" w:rsidRDefault="004143FB"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sidRPr="0065099F">
              <w:rPr>
                <w:sz w:val="22"/>
              </w:rPr>
              <w:t>3%</w:t>
            </w:r>
          </w:p>
        </w:tc>
        <w:tc>
          <w:tcPr>
            <w:tcW w:w="2096" w:type="dxa"/>
            <w:shd w:val="clear" w:color="auto" w:fill="C5EFFF" w:themeFill="accent2" w:themeFillTint="33"/>
          </w:tcPr>
          <w:p w14:paraId="5248028C" w14:textId="575E1CB6" w:rsidR="00D6116B" w:rsidRPr="0065099F" w:rsidRDefault="004143FB" w:rsidP="00FD0B86">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sidRPr="0065099F">
              <w:rPr>
                <w:sz w:val="22"/>
              </w:rPr>
              <w:t>3%</w:t>
            </w:r>
          </w:p>
        </w:tc>
      </w:tr>
      <w:tr w:rsidR="00D6116B" w:rsidRPr="00B5258A" w14:paraId="1D3E6D4A" w14:textId="0A49A032" w:rsidTr="00FE2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4" w:type="dxa"/>
            <w:vMerge/>
            <w:shd w:val="clear" w:color="auto" w:fill="auto"/>
            <w:textDirection w:val="btLr"/>
          </w:tcPr>
          <w:p w14:paraId="5CABD744" w14:textId="6AA34F02" w:rsidR="00D6116B" w:rsidRPr="00B5258A" w:rsidRDefault="00D6116B" w:rsidP="001F62F2">
            <w:pPr>
              <w:spacing w:before="60" w:after="60"/>
              <w:ind w:left="113" w:right="113"/>
              <w:jc w:val="center"/>
              <w:rPr>
                <w:sz w:val="22"/>
              </w:rPr>
            </w:pPr>
          </w:p>
        </w:tc>
        <w:tc>
          <w:tcPr>
            <w:tcW w:w="2241" w:type="dxa"/>
            <w:shd w:val="clear" w:color="auto" w:fill="auto"/>
          </w:tcPr>
          <w:p w14:paraId="476E24CB" w14:textId="67FDBEA6" w:rsidR="00D6116B" w:rsidRPr="004A6310" w:rsidRDefault="00D6116B" w:rsidP="001F62F2">
            <w:pPr>
              <w:spacing w:before="60" w:after="60"/>
              <w:cnfStyle w:val="000000100000" w:firstRow="0" w:lastRow="0" w:firstColumn="0" w:lastColumn="0" w:oddVBand="0" w:evenVBand="0" w:oddHBand="1" w:evenHBand="0" w:firstRowFirstColumn="0" w:firstRowLastColumn="0" w:lastRowFirstColumn="0" w:lastRowLastColumn="0"/>
              <w:rPr>
                <w:color w:val="FF0000"/>
                <w:sz w:val="22"/>
              </w:rPr>
            </w:pPr>
            <w:r w:rsidRPr="00B5258A">
              <w:rPr>
                <w:sz w:val="22"/>
              </w:rPr>
              <w:t>Hampton</w:t>
            </w:r>
          </w:p>
        </w:tc>
        <w:tc>
          <w:tcPr>
            <w:tcW w:w="1818" w:type="dxa"/>
            <w:shd w:val="clear" w:color="auto" w:fill="auto"/>
          </w:tcPr>
          <w:p w14:paraId="67865876" w14:textId="506CEB65" w:rsidR="00D6116B" w:rsidRPr="004A6310" w:rsidRDefault="00D6116B" w:rsidP="00D6116B">
            <w:pPr>
              <w:spacing w:before="60" w:after="60"/>
              <w:jc w:val="center"/>
              <w:cnfStyle w:val="000000100000" w:firstRow="0" w:lastRow="0" w:firstColumn="0" w:lastColumn="0" w:oddVBand="0" w:evenVBand="0" w:oddHBand="1" w:evenHBand="0" w:firstRowFirstColumn="0" w:firstRowLastColumn="0" w:lastRowFirstColumn="0" w:lastRowLastColumn="0"/>
              <w:rPr>
                <w:color w:val="FF0000"/>
                <w:sz w:val="22"/>
              </w:rPr>
            </w:pPr>
            <w:r w:rsidRPr="00B5258A">
              <w:rPr>
                <w:sz w:val="22"/>
              </w:rPr>
              <w:t>1</w:t>
            </w:r>
            <w:r>
              <w:rPr>
                <w:sz w:val="22"/>
              </w:rPr>
              <w:t>4</w:t>
            </w:r>
            <w:r w:rsidRPr="00B5258A">
              <w:rPr>
                <w:sz w:val="22"/>
              </w:rPr>
              <w:t>%</w:t>
            </w:r>
          </w:p>
        </w:tc>
        <w:tc>
          <w:tcPr>
            <w:tcW w:w="2247" w:type="dxa"/>
            <w:shd w:val="clear" w:color="auto" w:fill="auto"/>
          </w:tcPr>
          <w:p w14:paraId="27FC831B" w14:textId="2B0CD000" w:rsidR="00D6116B" w:rsidRPr="0065099F" w:rsidRDefault="004143FB" w:rsidP="00D6116B">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65099F">
              <w:rPr>
                <w:sz w:val="22"/>
              </w:rPr>
              <w:t>11%</w:t>
            </w:r>
          </w:p>
        </w:tc>
        <w:tc>
          <w:tcPr>
            <w:tcW w:w="2096" w:type="dxa"/>
            <w:shd w:val="clear" w:color="auto" w:fill="auto"/>
          </w:tcPr>
          <w:p w14:paraId="4593638C" w14:textId="66045C33" w:rsidR="00D6116B" w:rsidRPr="0065099F" w:rsidRDefault="004143FB" w:rsidP="00D6116B">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65099F">
              <w:rPr>
                <w:sz w:val="22"/>
              </w:rPr>
              <w:t>16%</w:t>
            </w:r>
          </w:p>
        </w:tc>
      </w:tr>
      <w:tr w:rsidR="00D6116B" w:rsidRPr="00B5258A" w14:paraId="38AFAEDD" w14:textId="5840D443" w:rsidTr="00FE2BC3">
        <w:trPr>
          <w:jc w:val="center"/>
        </w:trPr>
        <w:tc>
          <w:tcPr>
            <w:cnfStyle w:val="001000000000" w:firstRow="0" w:lastRow="0" w:firstColumn="1" w:lastColumn="0" w:oddVBand="0" w:evenVBand="0" w:oddHBand="0" w:evenHBand="0" w:firstRowFirstColumn="0" w:firstRowLastColumn="0" w:lastRowFirstColumn="0" w:lastRowLastColumn="0"/>
            <w:tcW w:w="614" w:type="dxa"/>
            <w:vMerge/>
            <w:shd w:val="clear" w:color="auto" w:fill="auto"/>
            <w:textDirection w:val="btLr"/>
          </w:tcPr>
          <w:p w14:paraId="7EF3787C" w14:textId="56776F70" w:rsidR="00D6116B" w:rsidRPr="00B5258A" w:rsidRDefault="00D6116B" w:rsidP="001F62F2">
            <w:pPr>
              <w:spacing w:before="60" w:after="60"/>
              <w:ind w:left="113" w:right="113"/>
              <w:jc w:val="center"/>
              <w:rPr>
                <w:sz w:val="22"/>
              </w:rPr>
            </w:pPr>
          </w:p>
        </w:tc>
        <w:tc>
          <w:tcPr>
            <w:tcW w:w="2241" w:type="dxa"/>
            <w:shd w:val="clear" w:color="auto" w:fill="C5EFFF" w:themeFill="accent2" w:themeFillTint="33"/>
          </w:tcPr>
          <w:p w14:paraId="5D622D9F" w14:textId="6506B150" w:rsidR="00D6116B" w:rsidRPr="004A6310" w:rsidRDefault="00D6116B" w:rsidP="001F62F2">
            <w:pPr>
              <w:spacing w:before="60" w:after="60"/>
              <w:cnfStyle w:val="000000000000" w:firstRow="0" w:lastRow="0" w:firstColumn="0" w:lastColumn="0" w:oddVBand="0" w:evenVBand="0" w:oddHBand="0" w:evenHBand="0" w:firstRowFirstColumn="0" w:firstRowLastColumn="0" w:lastRowFirstColumn="0" w:lastRowLastColumn="0"/>
              <w:rPr>
                <w:color w:val="FF0000"/>
                <w:sz w:val="22"/>
              </w:rPr>
            </w:pPr>
            <w:r w:rsidRPr="00B5258A">
              <w:rPr>
                <w:sz w:val="22"/>
              </w:rPr>
              <w:t>Hampton East</w:t>
            </w:r>
          </w:p>
        </w:tc>
        <w:tc>
          <w:tcPr>
            <w:tcW w:w="1818" w:type="dxa"/>
            <w:shd w:val="clear" w:color="auto" w:fill="C5EFFF" w:themeFill="accent2" w:themeFillTint="33"/>
          </w:tcPr>
          <w:p w14:paraId="1A7D2147" w14:textId="7547724B" w:rsidR="00D6116B" w:rsidRPr="004A6310" w:rsidRDefault="00D6116B" w:rsidP="00D6116B">
            <w:pPr>
              <w:spacing w:before="60" w:after="60"/>
              <w:jc w:val="center"/>
              <w:cnfStyle w:val="000000000000" w:firstRow="0" w:lastRow="0" w:firstColumn="0" w:lastColumn="0" w:oddVBand="0" w:evenVBand="0" w:oddHBand="0" w:evenHBand="0" w:firstRowFirstColumn="0" w:firstRowLastColumn="0" w:lastRowFirstColumn="0" w:lastRowLastColumn="0"/>
              <w:rPr>
                <w:color w:val="FF0000"/>
                <w:sz w:val="22"/>
              </w:rPr>
            </w:pPr>
            <w:r w:rsidRPr="00B5258A">
              <w:rPr>
                <w:sz w:val="22"/>
              </w:rPr>
              <w:t>5%</w:t>
            </w:r>
          </w:p>
        </w:tc>
        <w:tc>
          <w:tcPr>
            <w:tcW w:w="2247" w:type="dxa"/>
            <w:shd w:val="clear" w:color="auto" w:fill="C5EFFF" w:themeFill="accent2" w:themeFillTint="33"/>
          </w:tcPr>
          <w:p w14:paraId="4D726594" w14:textId="756D1DB8" w:rsidR="00D6116B" w:rsidRPr="0065099F" w:rsidRDefault="004143FB" w:rsidP="00D6116B">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sidRPr="0065099F">
              <w:rPr>
                <w:sz w:val="22"/>
              </w:rPr>
              <w:t>2%</w:t>
            </w:r>
          </w:p>
        </w:tc>
        <w:tc>
          <w:tcPr>
            <w:tcW w:w="2096" w:type="dxa"/>
            <w:shd w:val="clear" w:color="auto" w:fill="C5EFFF" w:themeFill="accent2" w:themeFillTint="33"/>
          </w:tcPr>
          <w:p w14:paraId="4A1C02C7" w14:textId="5F0114BA" w:rsidR="00D6116B" w:rsidRPr="0065099F" w:rsidRDefault="004143FB" w:rsidP="00D6116B">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sidRPr="0065099F">
              <w:rPr>
                <w:sz w:val="22"/>
              </w:rPr>
              <w:t>0%</w:t>
            </w:r>
          </w:p>
        </w:tc>
      </w:tr>
      <w:tr w:rsidR="00D6116B" w:rsidRPr="00B5258A" w14:paraId="7407B6BC" w14:textId="2ED9EC7B" w:rsidTr="00FE2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4" w:type="dxa"/>
            <w:vMerge/>
            <w:shd w:val="clear" w:color="auto" w:fill="auto"/>
            <w:textDirection w:val="btLr"/>
          </w:tcPr>
          <w:p w14:paraId="46D434CB" w14:textId="5EC7615A" w:rsidR="00D6116B" w:rsidRPr="00B5258A" w:rsidRDefault="00D6116B" w:rsidP="001F62F2">
            <w:pPr>
              <w:spacing w:before="60" w:after="60"/>
              <w:ind w:left="113" w:right="113"/>
              <w:jc w:val="center"/>
              <w:rPr>
                <w:sz w:val="22"/>
              </w:rPr>
            </w:pPr>
          </w:p>
        </w:tc>
        <w:tc>
          <w:tcPr>
            <w:tcW w:w="2241" w:type="dxa"/>
            <w:shd w:val="clear" w:color="auto" w:fill="auto"/>
          </w:tcPr>
          <w:p w14:paraId="55FA27C9" w14:textId="169E6CCE" w:rsidR="00D6116B" w:rsidRPr="00B5258A" w:rsidRDefault="00D6116B" w:rsidP="001F62F2">
            <w:pPr>
              <w:spacing w:before="60" w:after="60"/>
              <w:cnfStyle w:val="000000100000" w:firstRow="0" w:lastRow="0" w:firstColumn="0" w:lastColumn="0" w:oddVBand="0" w:evenVBand="0" w:oddHBand="1" w:evenHBand="0" w:firstRowFirstColumn="0" w:firstRowLastColumn="0" w:lastRowFirstColumn="0" w:lastRowLastColumn="0"/>
              <w:rPr>
                <w:sz w:val="22"/>
              </w:rPr>
            </w:pPr>
            <w:r w:rsidRPr="00B5258A">
              <w:rPr>
                <w:sz w:val="22"/>
              </w:rPr>
              <w:t>Highett</w:t>
            </w:r>
          </w:p>
        </w:tc>
        <w:tc>
          <w:tcPr>
            <w:tcW w:w="1818" w:type="dxa"/>
            <w:shd w:val="clear" w:color="auto" w:fill="auto"/>
          </w:tcPr>
          <w:p w14:paraId="78D53444" w14:textId="3E10C0BA" w:rsidR="00D6116B" w:rsidRPr="00B5258A" w:rsidRDefault="00D6116B" w:rsidP="00D6116B">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B5258A">
              <w:rPr>
                <w:sz w:val="22"/>
              </w:rPr>
              <w:t>7%</w:t>
            </w:r>
          </w:p>
        </w:tc>
        <w:tc>
          <w:tcPr>
            <w:tcW w:w="2247" w:type="dxa"/>
            <w:shd w:val="clear" w:color="auto" w:fill="auto"/>
          </w:tcPr>
          <w:p w14:paraId="26430446" w14:textId="57F9C8C6" w:rsidR="00D6116B" w:rsidRPr="0065099F" w:rsidRDefault="004143FB" w:rsidP="00D6116B">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65099F">
              <w:rPr>
                <w:sz w:val="22"/>
              </w:rPr>
              <w:t>0%</w:t>
            </w:r>
          </w:p>
        </w:tc>
        <w:tc>
          <w:tcPr>
            <w:tcW w:w="2096" w:type="dxa"/>
            <w:shd w:val="clear" w:color="auto" w:fill="auto"/>
          </w:tcPr>
          <w:p w14:paraId="7952063E" w14:textId="016ABED7" w:rsidR="00D6116B" w:rsidRPr="0065099F" w:rsidRDefault="004143FB" w:rsidP="00D6116B">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65099F">
              <w:rPr>
                <w:sz w:val="22"/>
              </w:rPr>
              <w:t>5%</w:t>
            </w:r>
          </w:p>
        </w:tc>
      </w:tr>
      <w:tr w:rsidR="00D6116B" w:rsidRPr="00B5258A" w14:paraId="324C3398" w14:textId="16A016C1" w:rsidTr="00FE2BC3">
        <w:trPr>
          <w:jc w:val="center"/>
        </w:trPr>
        <w:tc>
          <w:tcPr>
            <w:cnfStyle w:val="001000000000" w:firstRow="0" w:lastRow="0" w:firstColumn="1" w:lastColumn="0" w:oddVBand="0" w:evenVBand="0" w:oddHBand="0" w:evenHBand="0" w:firstRowFirstColumn="0" w:firstRowLastColumn="0" w:lastRowFirstColumn="0" w:lastRowLastColumn="0"/>
            <w:tcW w:w="614" w:type="dxa"/>
            <w:vMerge/>
            <w:shd w:val="clear" w:color="auto" w:fill="auto"/>
          </w:tcPr>
          <w:p w14:paraId="66FA4B2C" w14:textId="77777777" w:rsidR="00D6116B" w:rsidRPr="00B5258A" w:rsidRDefault="00D6116B" w:rsidP="001F62F2">
            <w:pPr>
              <w:spacing w:before="60" w:after="60"/>
              <w:rPr>
                <w:b w:val="0"/>
                <w:sz w:val="22"/>
              </w:rPr>
            </w:pPr>
          </w:p>
        </w:tc>
        <w:tc>
          <w:tcPr>
            <w:tcW w:w="2241" w:type="dxa"/>
            <w:shd w:val="clear" w:color="auto" w:fill="C5EFFF" w:themeFill="accent2" w:themeFillTint="33"/>
          </w:tcPr>
          <w:p w14:paraId="2B22C102" w14:textId="141FCF2B" w:rsidR="00D6116B" w:rsidRPr="00B5258A" w:rsidRDefault="00D6116B" w:rsidP="001F62F2">
            <w:pPr>
              <w:spacing w:before="60" w:after="60"/>
              <w:cnfStyle w:val="000000000000" w:firstRow="0" w:lastRow="0" w:firstColumn="0" w:lastColumn="0" w:oddVBand="0" w:evenVBand="0" w:oddHBand="0" w:evenHBand="0" w:firstRowFirstColumn="0" w:firstRowLastColumn="0" w:lastRowFirstColumn="0" w:lastRowLastColumn="0"/>
              <w:rPr>
                <w:sz w:val="22"/>
              </w:rPr>
            </w:pPr>
            <w:r w:rsidRPr="00B5258A">
              <w:rPr>
                <w:sz w:val="22"/>
              </w:rPr>
              <w:t>Sandringham</w:t>
            </w:r>
          </w:p>
        </w:tc>
        <w:tc>
          <w:tcPr>
            <w:tcW w:w="1818" w:type="dxa"/>
            <w:shd w:val="clear" w:color="auto" w:fill="C5EFFF" w:themeFill="accent2" w:themeFillTint="33"/>
          </w:tcPr>
          <w:p w14:paraId="6F534463" w14:textId="0651BA97" w:rsidR="00D6116B" w:rsidRPr="00B5258A" w:rsidRDefault="00D6116B" w:rsidP="00D6116B">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sidRPr="00B5258A">
              <w:rPr>
                <w:sz w:val="22"/>
              </w:rPr>
              <w:t>1</w:t>
            </w:r>
            <w:r>
              <w:rPr>
                <w:sz w:val="22"/>
              </w:rPr>
              <w:t>1</w:t>
            </w:r>
            <w:r w:rsidRPr="00B5258A">
              <w:rPr>
                <w:sz w:val="22"/>
              </w:rPr>
              <w:t>%</w:t>
            </w:r>
          </w:p>
        </w:tc>
        <w:tc>
          <w:tcPr>
            <w:tcW w:w="2247" w:type="dxa"/>
            <w:shd w:val="clear" w:color="auto" w:fill="C5EFFF" w:themeFill="accent2" w:themeFillTint="33"/>
          </w:tcPr>
          <w:p w14:paraId="687381EC" w14:textId="321D5A07" w:rsidR="00D6116B" w:rsidRPr="00B5258A" w:rsidRDefault="004143FB" w:rsidP="00D6116B">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Pr>
                <w:sz w:val="22"/>
              </w:rPr>
              <w:t>13%</w:t>
            </w:r>
          </w:p>
        </w:tc>
        <w:tc>
          <w:tcPr>
            <w:tcW w:w="2096" w:type="dxa"/>
            <w:shd w:val="clear" w:color="auto" w:fill="C5EFFF" w:themeFill="accent2" w:themeFillTint="33"/>
          </w:tcPr>
          <w:p w14:paraId="1695AD7A" w14:textId="3D58016B" w:rsidR="00D6116B" w:rsidRDefault="004143FB" w:rsidP="00D6116B">
            <w:pPr>
              <w:spacing w:before="60" w:after="60"/>
              <w:jc w:val="center"/>
              <w:cnfStyle w:val="000000000000" w:firstRow="0" w:lastRow="0" w:firstColumn="0" w:lastColumn="0" w:oddVBand="0" w:evenVBand="0" w:oddHBand="0" w:evenHBand="0" w:firstRowFirstColumn="0" w:firstRowLastColumn="0" w:lastRowFirstColumn="0" w:lastRowLastColumn="0"/>
              <w:rPr>
                <w:sz w:val="22"/>
              </w:rPr>
            </w:pPr>
            <w:r>
              <w:rPr>
                <w:sz w:val="22"/>
              </w:rPr>
              <w:t>17%</w:t>
            </w:r>
          </w:p>
        </w:tc>
      </w:tr>
      <w:tr w:rsidR="00D6116B" w:rsidRPr="00B5258A" w14:paraId="31312870" w14:textId="5CDEB289" w:rsidTr="00FE2B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4" w:type="dxa"/>
            <w:vMerge/>
            <w:shd w:val="clear" w:color="auto" w:fill="auto"/>
          </w:tcPr>
          <w:p w14:paraId="30642789" w14:textId="77777777" w:rsidR="00D6116B" w:rsidRPr="00B5258A" w:rsidRDefault="00D6116B" w:rsidP="001F62F2">
            <w:pPr>
              <w:spacing w:before="60" w:after="60"/>
              <w:rPr>
                <w:b w:val="0"/>
                <w:sz w:val="22"/>
              </w:rPr>
            </w:pPr>
          </w:p>
        </w:tc>
        <w:tc>
          <w:tcPr>
            <w:tcW w:w="2241" w:type="dxa"/>
            <w:shd w:val="clear" w:color="auto" w:fill="auto"/>
          </w:tcPr>
          <w:p w14:paraId="0D4D7A08" w14:textId="5E382DBF" w:rsidR="00D6116B" w:rsidRPr="00B5258A" w:rsidRDefault="00D6116B" w:rsidP="001F62F2">
            <w:pPr>
              <w:spacing w:before="60" w:after="60"/>
              <w:cnfStyle w:val="000000100000" w:firstRow="0" w:lastRow="0" w:firstColumn="0" w:lastColumn="0" w:oddVBand="0" w:evenVBand="0" w:oddHBand="1" w:evenHBand="0" w:firstRowFirstColumn="0" w:firstRowLastColumn="0" w:lastRowFirstColumn="0" w:lastRowLastColumn="0"/>
              <w:rPr>
                <w:sz w:val="22"/>
              </w:rPr>
            </w:pPr>
            <w:r w:rsidRPr="00B5258A">
              <w:rPr>
                <w:sz w:val="22"/>
              </w:rPr>
              <w:t>Outside Bayside</w:t>
            </w:r>
          </w:p>
        </w:tc>
        <w:tc>
          <w:tcPr>
            <w:tcW w:w="1818" w:type="dxa"/>
            <w:shd w:val="clear" w:color="auto" w:fill="auto"/>
          </w:tcPr>
          <w:p w14:paraId="704F2E6A" w14:textId="2AFA4402" w:rsidR="00D6116B" w:rsidRPr="00B5258A" w:rsidRDefault="00D6116B" w:rsidP="00D6116B">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sidRPr="00B5258A">
              <w:rPr>
                <w:sz w:val="22"/>
              </w:rPr>
              <w:t>-</w:t>
            </w:r>
          </w:p>
        </w:tc>
        <w:tc>
          <w:tcPr>
            <w:tcW w:w="2247" w:type="dxa"/>
            <w:shd w:val="clear" w:color="auto" w:fill="auto"/>
          </w:tcPr>
          <w:p w14:paraId="28B48A7A" w14:textId="5B9277EB" w:rsidR="00D6116B" w:rsidRPr="00B5258A" w:rsidRDefault="004143FB" w:rsidP="00D6116B">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Pr>
                <w:sz w:val="22"/>
              </w:rPr>
              <w:t>18%</w:t>
            </w:r>
          </w:p>
        </w:tc>
        <w:tc>
          <w:tcPr>
            <w:tcW w:w="2096" w:type="dxa"/>
            <w:shd w:val="clear" w:color="auto" w:fill="auto"/>
          </w:tcPr>
          <w:p w14:paraId="66741233" w14:textId="53005113" w:rsidR="00D6116B" w:rsidRDefault="0065099F" w:rsidP="00D6116B">
            <w:pPr>
              <w:spacing w:before="60" w:after="60"/>
              <w:jc w:val="center"/>
              <w:cnfStyle w:val="000000100000" w:firstRow="0" w:lastRow="0" w:firstColumn="0" w:lastColumn="0" w:oddVBand="0" w:evenVBand="0" w:oddHBand="1" w:evenHBand="0" w:firstRowFirstColumn="0" w:firstRowLastColumn="0" w:lastRowFirstColumn="0" w:lastRowLastColumn="0"/>
              <w:rPr>
                <w:sz w:val="22"/>
              </w:rPr>
            </w:pPr>
            <w:r>
              <w:rPr>
                <w:sz w:val="22"/>
              </w:rPr>
              <w:t>2%</w:t>
            </w:r>
          </w:p>
        </w:tc>
      </w:tr>
    </w:tbl>
    <w:p w14:paraId="687E89C9" w14:textId="77777777" w:rsidR="00DD3027" w:rsidRDefault="00DD3027" w:rsidP="00DD3027">
      <w:pPr>
        <w:rPr>
          <w:sz w:val="22"/>
        </w:rPr>
      </w:pPr>
    </w:p>
    <w:p w14:paraId="4753317B" w14:textId="70352AEF" w:rsidR="00F10FEA" w:rsidRPr="00B5258A" w:rsidRDefault="000B6D3F" w:rsidP="000807D2">
      <w:pPr>
        <w:pStyle w:val="Heading1"/>
        <w:rPr>
          <w:sz w:val="28"/>
        </w:rPr>
      </w:pPr>
      <w:r w:rsidRPr="00B5258A">
        <w:rPr>
          <w:sz w:val="28"/>
        </w:rPr>
        <w:t>Consultation f</w:t>
      </w:r>
      <w:r w:rsidR="00103EC7" w:rsidRPr="00B5258A">
        <w:rPr>
          <w:sz w:val="28"/>
        </w:rPr>
        <w:t>indings</w:t>
      </w:r>
      <w:bookmarkEnd w:id="6"/>
    </w:p>
    <w:p w14:paraId="19390257" w14:textId="77777777" w:rsidR="009D2018" w:rsidRDefault="009D2018" w:rsidP="00103EC7">
      <w:pPr>
        <w:rPr>
          <w:sz w:val="22"/>
        </w:rPr>
      </w:pPr>
    </w:p>
    <w:p w14:paraId="5096A348" w14:textId="000B6088" w:rsidR="002751A4" w:rsidRDefault="00501E39" w:rsidP="00103EC7">
      <w:pPr>
        <w:rPr>
          <w:sz w:val="22"/>
        </w:rPr>
      </w:pPr>
      <w:r w:rsidRPr="00B5258A">
        <w:rPr>
          <w:sz w:val="22"/>
        </w:rPr>
        <w:t>T</w:t>
      </w:r>
      <w:r w:rsidR="00933698" w:rsidRPr="00B5258A">
        <w:rPr>
          <w:sz w:val="22"/>
        </w:rPr>
        <w:t>he following s</w:t>
      </w:r>
      <w:r w:rsidR="00D25508" w:rsidRPr="00B5258A">
        <w:rPr>
          <w:sz w:val="22"/>
        </w:rPr>
        <w:t>ection</w:t>
      </w:r>
      <w:r w:rsidR="00933698" w:rsidRPr="00B5258A">
        <w:rPr>
          <w:sz w:val="22"/>
        </w:rPr>
        <w:t xml:space="preserve"> </w:t>
      </w:r>
      <w:r w:rsidR="0066268C" w:rsidRPr="00B5258A">
        <w:rPr>
          <w:sz w:val="22"/>
        </w:rPr>
        <w:t>summarises</w:t>
      </w:r>
      <w:r w:rsidR="00933698" w:rsidRPr="00B5258A">
        <w:rPr>
          <w:sz w:val="22"/>
        </w:rPr>
        <w:t xml:space="preserve"> the key themes which arose in community feedback on </w:t>
      </w:r>
      <w:r w:rsidR="00F057F2">
        <w:rPr>
          <w:sz w:val="22"/>
        </w:rPr>
        <w:t xml:space="preserve">the </w:t>
      </w:r>
      <w:r w:rsidR="00890F5D">
        <w:rPr>
          <w:sz w:val="22"/>
        </w:rPr>
        <w:t xml:space="preserve">Placemaking Action Plan </w:t>
      </w:r>
      <w:r w:rsidR="00F057F2">
        <w:rPr>
          <w:sz w:val="22"/>
        </w:rPr>
        <w:t>project.</w:t>
      </w:r>
      <w:r w:rsidR="002751A4">
        <w:rPr>
          <w:sz w:val="22"/>
        </w:rPr>
        <w:t xml:space="preserve"> </w:t>
      </w:r>
    </w:p>
    <w:p w14:paraId="421BB7A7" w14:textId="7ACA5224" w:rsidR="002751A4" w:rsidRDefault="002751A4" w:rsidP="00103EC7">
      <w:pPr>
        <w:rPr>
          <w:sz w:val="22"/>
        </w:rPr>
      </w:pPr>
      <w:r>
        <w:rPr>
          <w:sz w:val="22"/>
        </w:rPr>
        <w:t xml:space="preserve">The consultation includes feedback </w:t>
      </w:r>
      <w:r w:rsidRPr="001B2622">
        <w:rPr>
          <w:sz w:val="22"/>
        </w:rPr>
        <w:t xml:space="preserve">from </w:t>
      </w:r>
      <w:r w:rsidR="001B2622" w:rsidRPr="001B2622">
        <w:rPr>
          <w:sz w:val="22"/>
        </w:rPr>
        <w:t>651</w:t>
      </w:r>
      <w:r w:rsidRPr="001B2622">
        <w:rPr>
          <w:sz w:val="22"/>
        </w:rPr>
        <w:t xml:space="preserve"> </w:t>
      </w:r>
      <w:r w:rsidR="00733B56" w:rsidRPr="001B2622">
        <w:rPr>
          <w:sz w:val="22"/>
        </w:rPr>
        <w:t>indiv</w:t>
      </w:r>
      <w:r w:rsidR="00733B56">
        <w:rPr>
          <w:sz w:val="22"/>
        </w:rPr>
        <w:t>iduals</w:t>
      </w:r>
      <w:r>
        <w:rPr>
          <w:sz w:val="22"/>
        </w:rPr>
        <w:t xml:space="preserve">: </w:t>
      </w:r>
    </w:p>
    <w:p w14:paraId="113CE6DE" w14:textId="3811C86F" w:rsidR="00A048E3" w:rsidRDefault="00A048E3" w:rsidP="00103EC7">
      <w:pPr>
        <w:pStyle w:val="ListParagraph"/>
        <w:numPr>
          <w:ilvl w:val="0"/>
          <w:numId w:val="30"/>
        </w:numPr>
        <w:rPr>
          <w:sz w:val="22"/>
        </w:rPr>
      </w:pPr>
      <w:r>
        <w:rPr>
          <w:sz w:val="22"/>
        </w:rPr>
        <w:t>374 Intercept survey respondents</w:t>
      </w:r>
    </w:p>
    <w:p w14:paraId="5276DF46" w14:textId="4D994D4F" w:rsidR="00F057F2" w:rsidRDefault="00A048E3" w:rsidP="00103EC7">
      <w:pPr>
        <w:pStyle w:val="ListParagraph"/>
        <w:numPr>
          <w:ilvl w:val="0"/>
          <w:numId w:val="30"/>
        </w:numPr>
        <w:rPr>
          <w:sz w:val="22"/>
        </w:rPr>
      </w:pPr>
      <w:r>
        <w:rPr>
          <w:sz w:val="22"/>
        </w:rPr>
        <w:t xml:space="preserve">275 </w:t>
      </w:r>
      <w:r w:rsidR="00F057F2">
        <w:rPr>
          <w:sz w:val="22"/>
        </w:rPr>
        <w:t xml:space="preserve">Have Your Say Quick Poll </w:t>
      </w:r>
      <w:r w:rsidR="002F546C">
        <w:rPr>
          <w:sz w:val="22"/>
        </w:rPr>
        <w:t>contributions.</w:t>
      </w:r>
    </w:p>
    <w:p w14:paraId="2188F327" w14:textId="32601F2F" w:rsidR="005B6F7C" w:rsidRDefault="005B6F7C" w:rsidP="005B6F7C">
      <w:pPr>
        <w:pStyle w:val="ListParagraph"/>
        <w:numPr>
          <w:ilvl w:val="0"/>
          <w:numId w:val="30"/>
        </w:numPr>
        <w:rPr>
          <w:sz w:val="22"/>
        </w:rPr>
      </w:pPr>
      <w:r>
        <w:rPr>
          <w:sz w:val="22"/>
        </w:rPr>
        <w:t>44 comments from the BHARG, FReeZA, and DAIAC meetings.</w:t>
      </w:r>
    </w:p>
    <w:p w14:paraId="6A6D76C1" w14:textId="1AE5D07B" w:rsidR="002751A4" w:rsidRDefault="002F546C" w:rsidP="00103EC7">
      <w:pPr>
        <w:pStyle w:val="ListParagraph"/>
        <w:numPr>
          <w:ilvl w:val="0"/>
          <w:numId w:val="30"/>
        </w:numPr>
        <w:rPr>
          <w:sz w:val="22"/>
        </w:rPr>
      </w:pPr>
      <w:r>
        <w:rPr>
          <w:sz w:val="22"/>
        </w:rPr>
        <w:t xml:space="preserve">2 emails </w:t>
      </w:r>
      <w:r w:rsidR="002751A4" w:rsidRPr="002751A4">
        <w:rPr>
          <w:sz w:val="22"/>
        </w:rPr>
        <w:t xml:space="preserve">direct </w:t>
      </w:r>
      <w:r>
        <w:rPr>
          <w:sz w:val="22"/>
        </w:rPr>
        <w:t xml:space="preserve">to Council </w:t>
      </w:r>
      <w:r w:rsidR="002751A4" w:rsidRPr="002751A4">
        <w:rPr>
          <w:sz w:val="22"/>
        </w:rPr>
        <w:t>officers</w:t>
      </w:r>
      <w:r>
        <w:rPr>
          <w:sz w:val="22"/>
        </w:rPr>
        <w:t>.</w:t>
      </w:r>
    </w:p>
    <w:p w14:paraId="33A0EA1C" w14:textId="309C3F56" w:rsidR="002751A4" w:rsidRDefault="002751A4" w:rsidP="002751A4">
      <w:pPr>
        <w:pStyle w:val="Heading2"/>
        <w:rPr>
          <w:sz w:val="24"/>
          <w:szCs w:val="24"/>
        </w:rPr>
      </w:pPr>
      <w:r w:rsidRPr="009208BA">
        <w:rPr>
          <w:sz w:val="24"/>
          <w:szCs w:val="24"/>
        </w:rPr>
        <w:t>Feedback summary</w:t>
      </w:r>
      <w:r w:rsidR="00306D4A" w:rsidRPr="009208BA">
        <w:rPr>
          <w:sz w:val="24"/>
          <w:szCs w:val="24"/>
        </w:rPr>
        <w:t xml:space="preserve"> </w:t>
      </w:r>
    </w:p>
    <w:p w14:paraId="34168D4C" w14:textId="7725CE2B" w:rsidR="002751A4" w:rsidRPr="001B2622" w:rsidRDefault="002751A4" w:rsidP="00AE5139">
      <w:pPr>
        <w:jc w:val="both"/>
        <w:rPr>
          <w:sz w:val="22"/>
        </w:rPr>
      </w:pPr>
      <w:r w:rsidRPr="001B2622">
        <w:rPr>
          <w:sz w:val="22"/>
        </w:rPr>
        <w:t xml:space="preserve">The following </w:t>
      </w:r>
      <w:r w:rsidR="00C3550C" w:rsidRPr="001B2622">
        <w:rPr>
          <w:sz w:val="22"/>
        </w:rPr>
        <w:t xml:space="preserve">key findings </w:t>
      </w:r>
      <w:r w:rsidRPr="001B2622">
        <w:rPr>
          <w:sz w:val="22"/>
        </w:rPr>
        <w:t xml:space="preserve">were identified in the data collected from the </w:t>
      </w:r>
      <w:r w:rsidR="00890F5D">
        <w:rPr>
          <w:sz w:val="22"/>
        </w:rPr>
        <w:t>community engagement</w:t>
      </w:r>
      <w:r w:rsidRPr="001B2622">
        <w:rPr>
          <w:sz w:val="22"/>
        </w:rPr>
        <w:t xml:space="preserve">: </w:t>
      </w:r>
    </w:p>
    <w:p w14:paraId="642449D1" w14:textId="460BC5BB" w:rsidR="002452F5" w:rsidRDefault="00255FC7" w:rsidP="003C7727">
      <w:pPr>
        <w:pStyle w:val="ListParagraph"/>
        <w:numPr>
          <w:ilvl w:val="0"/>
          <w:numId w:val="31"/>
        </w:numPr>
        <w:jc w:val="both"/>
        <w:rPr>
          <w:sz w:val="22"/>
          <w:szCs w:val="22"/>
        </w:rPr>
      </w:pPr>
      <w:r w:rsidRPr="00D34A37">
        <w:rPr>
          <w:b/>
          <w:bCs/>
          <w:i/>
          <w:iCs/>
          <w:sz w:val="22"/>
          <w:szCs w:val="22"/>
        </w:rPr>
        <w:t>Visiting</w:t>
      </w:r>
      <w:r w:rsidR="001B2622" w:rsidRPr="00D34A37">
        <w:rPr>
          <w:b/>
          <w:bCs/>
          <w:i/>
          <w:iCs/>
          <w:sz w:val="22"/>
          <w:szCs w:val="22"/>
        </w:rPr>
        <w:t xml:space="preserve"> the activity centres</w:t>
      </w:r>
      <w:r w:rsidR="00264DBF" w:rsidRPr="00D34A37">
        <w:rPr>
          <w:sz w:val="22"/>
          <w:szCs w:val="22"/>
        </w:rPr>
        <w:t xml:space="preserve"> </w:t>
      </w:r>
      <w:r w:rsidR="00675B08" w:rsidRPr="00D34A37">
        <w:rPr>
          <w:sz w:val="22"/>
          <w:szCs w:val="22"/>
        </w:rPr>
        <w:t>–</w:t>
      </w:r>
      <w:r w:rsidR="00264DBF" w:rsidRPr="00D34A37">
        <w:rPr>
          <w:sz w:val="22"/>
          <w:szCs w:val="22"/>
        </w:rPr>
        <w:t xml:space="preserve"> </w:t>
      </w:r>
      <w:r w:rsidR="00E23332" w:rsidRPr="00D34A37">
        <w:rPr>
          <w:sz w:val="22"/>
          <w:szCs w:val="22"/>
        </w:rPr>
        <w:t xml:space="preserve">the seven activity centres appear to operate as local activity centres, with </w:t>
      </w:r>
      <w:r w:rsidR="00675B08" w:rsidRPr="00D34A37">
        <w:rPr>
          <w:sz w:val="22"/>
          <w:szCs w:val="22"/>
        </w:rPr>
        <w:t xml:space="preserve">most respondents </w:t>
      </w:r>
      <w:r w:rsidR="0009251F" w:rsidRPr="00D34A37">
        <w:rPr>
          <w:sz w:val="22"/>
          <w:szCs w:val="22"/>
        </w:rPr>
        <w:t xml:space="preserve">travelling only a relatively short distance to visit </w:t>
      </w:r>
      <w:r w:rsidR="0009251F" w:rsidRPr="00D34A37">
        <w:rPr>
          <w:sz w:val="22"/>
          <w:szCs w:val="22"/>
        </w:rPr>
        <w:lastRenderedPageBreak/>
        <w:t>the activity centres</w:t>
      </w:r>
      <w:r w:rsidR="00D34A37" w:rsidRPr="00D34A37">
        <w:rPr>
          <w:sz w:val="22"/>
          <w:szCs w:val="22"/>
        </w:rPr>
        <w:t>, mostly by car an</w:t>
      </w:r>
      <w:r w:rsidR="00636B71">
        <w:rPr>
          <w:sz w:val="22"/>
          <w:szCs w:val="22"/>
        </w:rPr>
        <w:t>d</w:t>
      </w:r>
      <w:r w:rsidR="00D34A37" w:rsidRPr="00D34A37">
        <w:rPr>
          <w:sz w:val="22"/>
          <w:szCs w:val="22"/>
        </w:rPr>
        <w:t>/ walking</w:t>
      </w:r>
      <w:r w:rsidR="0009251F" w:rsidRPr="00D34A37">
        <w:rPr>
          <w:sz w:val="22"/>
          <w:szCs w:val="22"/>
        </w:rPr>
        <w:t xml:space="preserve">. Most were </w:t>
      </w:r>
      <w:r w:rsidR="00E23332" w:rsidRPr="00D34A37">
        <w:rPr>
          <w:sz w:val="22"/>
          <w:szCs w:val="22"/>
        </w:rPr>
        <w:t>visiting</w:t>
      </w:r>
      <w:r w:rsidR="00675B08" w:rsidRPr="00D34A37">
        <w:rPr>
          <w:sz w:val="22"/>
          <w:szCs w:val="22"/>
        </w:rPr>
        <w:t xml:space="preserve"> during business hours or both during business hours and </w:t>
      </w:r>
      <w:r w:rsidR="00A36AF0" w:rsidRPr="00D34A37">
        <w:rPr>
          <w:sz w:val="22"/>
          <w:szCs w:val="22"/>
        </w:rPr>
        <w:t xml:space="preserve">after hours.  The majority of visits were of a medium duration </w:t>
      </w:r>
      <w:r w:rsidR="002B497A" w:rsidRPr="00D34A37">
        <w:rPr>
          <w:sz w:val="22"/>
          <w:szCs w:val="22"/>
        </w:rPr>
        <w:t>for example including</w:t>
      </w:r>
      <w:r w:rsidR="009331E5" w:rsidRPr="00D34A37">
        <w:rPr>
          <w:sz w:val="22"/>
          <w:szCs w:val="22"/>
        </w:rPr>
        <w:t xml:space="preserve"> a mix of shopping</w:t>
      </w:r>
      <w:r w:rsidR="0004144F" w:rsidRPr="00D34A37">
        <w:rPr>
          <w:sz w:val="22"/>
          <w:szCs w:val="22"/>
        </w:rPr>
        <w:t>, window shopping, and a coffee</w:t>
      </w:r>
      <w:r w:rsidR="002B497A" w:rsidRPr="00D34A37">
        <w:rPr>
          <w:sz w:val="22"/>
          <w:szCs w:val="22"/>
        </w:rPr>
        <w:t xml:space="preserve">, socialising, </w:t>
      </w:r>
      <w:r w:rsidR="0004144F" w:rsidRPr="00D34A37">
        <w:rPr>
          <w:sz w:val="22"/>
          <w:szCs w:val="22"/>
        </w:rPr>
        <w:t xml:space="preserve">or </w:t>
      </w:r>
      <w:r w:rsidR="002B497A" w:rsidRPr="00D34A37">
        <w:rPr>
          <w:sz w:val="22"/>
          <w:szCs w:val="22"/>
        </w:rPr>
        <w:t xml:space="preserve">a </w:t>
      </w:r>
      <w:r w:rsidR="0004144F" w:rsidRPr="00D34A37">
        <w:rPr>
          <w:sz w:val="22"/>
          <w:szCs w:val="22"/>
        </w:rPr>
        <w:t xml:space="preserve">meal.  </w:t>
      </w:r>
    </w:p>
    <w:p w14:paraId="61475917" w14:textId="77777777" w:rsidR="00D34A37" w:rsidRPr="00D34A37" w:rsidRDefault="00D34A37" w:rsidP="00D34A37">
      <w:pPr>
        <w:pStyle w:val="ListParagraph"/>
        <w:jc w:val="both"/>
        <w:rPr>
          <w:sz w:val="22"/>
          <w:szCs w:val="22"/>
        </w:rPr>
      </w:pPr>
    </w:p>
    <w:p w14:paraId="180AC643" w14:textId="19EB5BF5" w:rsidR="00947FF9" w:rsidRPr="003706A9" w:rsidRDefault="00255FC7" w:rsidP="00CA7F2B">
      <w:pPr>
        <w:pStyle w:val="ListParagraph"/>
        <w:numPr>
          <w:ilvl w:val="0"/>
          <w:numId w:val="31"/>
        </w:numPr>
        <w:jc w:val="both"/>
        <w:rPr>
          <w:sz w:val="22"/>
          <w:szCs w:val="22"/>
        </w:rPr>
      </w:pPr>
      <w:r w:rsidRPr="003706A9">
        <w:rPr>
          <w:b/>
          <w:bCs/>
          <w:i/>
          <w:iCs/>
          <w:sz w:val="22"/>
          <w:szCs w:val="22"/>
        </w:rPr>
        <w:t xml:space="preserve">Views about the activity centres </w:t>
      </w:r>
      <w:r w:rsidRPr="003706A9">
        <w:rPr>
          <w:sz w:val="22"/>
          <w:szCs w:val="22"/>
        </w:rPr>
        <w:t>–</w:t>
      </w:r>
      <w:r w:rsidR="00264DBF" w:rsidRPr="003706A9">
        <w:rPr>
          <w:sz w:val="22"/>
          <w:szCs w:val="22"/>
        </w:rPr>
        <w:t xml:space="preserve"> </w:t>
      </w:r>
      <w:r w:rsidR="003706A9" w:rsidRPr="003706A9">
        <w:rPr>
          <w:sz w:val="22"/>
          <w:szCs w:val="22"/>
        </w:rPr>
        <w:t>the overwhelming majority of respondents reported that they would recommend the activity centre to friends and/ or family as a place to visit. A</w:t>
      </w:r>
      <w:r w:rsidRPr="003706A9">
        <w:rPr>
          <w:sz w:val="22"/>
          <w:szCs w:val="22"/>
        </w:rPr>
        <w:t xml:space="preserve"> strong majority of respondents believed that there were places for people to get together in the activity centres, although </w:t>
      </w:r>
      <w:r w:rsidR="00CF0D69" w:rsidRPr="003706A9">
        <w:rPr>
          <w:sz w:val="22"/>
          <w:szCs w:val="22"/>
        </w:rPr>
        <w:t xml:space="preserve">the vibrancy of the activity centres at night was rated as moderate at 5.5 (intercept) and 4.0 (online) on a scale from zero to 10.  </w:t>
      </w:r>
    </w:p>
    <w:p w14:paraId="42609230" w14:textId="77777777" w:rsidR="00D93965" w:rsidRPr="00D93965" w:rsidRDefault="00D93965" w:rsidP="00946C4C">
      <w:pPr>
        <w:pStyle w:val="ListParagraph"/>
        <w:jc w:val="both"/>
        <w:rPr>
          <w:color w:val="FF0000"/>
          <w:sz w:val="22"/>
          <w:szCs w:val="22"/>
        </w:rPr>
      </w:pPr>
    </w:p>
    <w:p w14:paraId="1FBADA45" w14:textId="5684C7D6" w:rsidR="002452F5" w:rsidRPr="00335191" w:rsidRDefault="00A5332E" w:rsidP="00DA6D73">
      <w:pPr>
        <w:pStyle w:val="ListParagraph"/>
        <w:numPr>
          <w:ilvl w:val="0"/>
          <w:numId w:val="31"/>
        </w:numPr>
        <w:jc w:val="both"/>
        <w:rPr>
          <w:sz w:val="22"/>
          <w:szCs w:val="22"/>
        </w:rPr>
      </w:pPr>
      <w:r w:rsidRPr="00335191">
        <w:rPr>
          <w:b/>
          <w:bCs/>
          <w:i/>
          <w:iCs/>
          <w:sz w:val="22"/>
          <w:szCs w:val="22"/>
        </w:rPr>
        <w:t xml:space="preserve">How well </w:t>
      </w:r>
      <w:r w:rsidR="00F40B59" w:rsidRPr="00335191">
        <w:rPr>
          <w:b/>
          <w:bCs/>
          <w:i/>
          <w:iCs/>
          <w:sz w:val="22"/>
          <w:szCs w:val="22"/>
        </w:rPr>
        <w:t>e</w:t>
      </w:r>
      <w:r w:rsidR="003706A9" w:rsidRPr="00335191">
        <w:rPr>
          <w:b/>
          <w:bCs/>
          <w:i/>
          <w:iCs/>
          <w:sz w:val="22"/>
          <w:szCs w:val="22"/>
        </w:rPr>
        <w:t xml:space="preserve">xisting </w:t>
      </w:r>
      <w:r w:rsidR="00F40B59" w:rsidRPr="00335191">
        <w:rPr>
          <w:b/>
          <w:bCs/>
          <w:i/>
          <w:iCs/>
          <w:sz w:val="22"/>
          <w:szCs w:val="22"/>
        </w:rPr>
        <w:t>placemaking features are working</w:t>
      </w:r>
      <w:r w:rsidR="007E54E4" w:rsidRPr="00335191">
        <w:rPr>
          <w:sz w:val="22"/>
          <w:szCs w:val="22"/>
        </w:rPr>
        <w:t xml:space="preserve"> </w:t>
      </w:r>
      <w:r w:rsidR="00F40B59" w:rsidRPr="00335191">
        <w:rPr>
          <w:sz w:val="22"/>
          <w:szCs w:val="22"/>
        </w:rPr>
        <w:t>–</w:t>
      </w:r>
      <w:r w:rsidR="007E54E4" w:rsidRPr="00335191">
        <w:rPr>
          <w:sz w:val="22"/>
          <w:szCs w:val="22"/>
        </w:rPr>
        <w:t xml:space="preserve"> </w:t>
      </w:r>
      <w:r w:rsidR="00460E62" w:rsidRPr="00335191">
        <w:rPr>
          <w:sz w:val="22"/>
          <w:szCs w:val="22"/>
        </w:rPr>
        <w:t xml:space="preserve">the features that respondents considered were working best included the street library </w:t>
      </w:r>
      <w:r w:rsidR="00DF5A66" w:rsidRPr="00335191">
        <w:rPr>
          <w:sz w:val="22"/>
          <w:szCs w:val="22"/>
        </w:rPr>
        <w:t xml:space="preserve">at Sandringham Village, the historical markers at Bay Street, the outdoor dining, lighting, </w:t>
      </w:r>
      <w:r w:rsidR="00805D02" w:rsidRPr="00335191">
        <w:rPr>
          <w:sz w:val="22"/>
          <w:szCs w:val="22"/>
        </w:rPr>
        <w:t xml:space="preserve">street plantings, signage, and wayfinding, all of which were rated at “good” levels by the intercept survey respondents.  </w:t>
      </w:r>
      <w:r w:rsidR="00335191" w:rsidRPr="00335191">
        <w:rPr>
          <w:sz w:val="22"/>
          <w:szCs w:val="22"/>
        </w:rPr>
        <w:t>The features that respondents considered were working least well included the public sculpture at three centres, events and attractions, and picnic tables, all of which were rated at “poor” levels by the intercept survey respondents.</w:t>
      </w:r>
      <w:r w:rsidR="00971B4E">
        <w:rPr>
          <w:sz w:val="22"/>
          <w:szCs w:val="22"/>
        </w:rPr>
        <w:t xml:space="preserve">  Self-selected online respondents rated how well these features were working measurably lower than the intercept survey respondents.</w:t>
      </w:r>
    </w:p>
    <w:p w14:paraId="0B691341" w14:textId="77777777" w:rsidR="00692BF3" w:rsidRPr="00F44A43" w:rsidRDefault="00692BF3" w:rsidP="00692BF3">
      <w:pPr>
        <w:pStyle w:val="ListParagraph"/>
        <w:rPr>
          <w:color w:val="FF0000"/>
          <w:sz w:val="22"/>
          <w:szCs w:val="22"/>
        </w:rPr>
      </w:pPr>
    </w:p>
    <w:p w14:paraId="571994AA" w14:textId="544BE250" w:rsidR="00692BF3" w:rsidRPr="00297749" w:rsidRDefault="00A23C6D" w:rsidP="00DA6D73">
      <w:pPr>
        <w:pStyle w:val="ListParagraph"/>
        <w:numPr>
          <w:ilvl w:val="0"/>
          <w:numId w:val="31"/>
        </w:numPr>
        <w:jc w:val="both"/>
        <w:rPr>
          <w:sz w:val="22"/>
          <w:szCs w:val="22"/>
        </w:rPr>
      </w:pPr>
      <w:r w:rsidRPr="00297749">
        <w:rPr>
          <w:b/>
          <w:bCs/>
          <w:i/>
          <w:iCs/>
          <w:sz w:val="22"/>
          <w:szCs w:val="22"/>
        </w:rPr>
        <w:t>Liking the centre-specific placemaking initiatives</w:t>
      </w:r>
      <w:r w:rsidR="007E54E4" w:rsidRPr="00297749">
        <w:rPr>
          <w:sz w:val="22"/>
          <w:szCs w:val="22"/>
        </w:rPr>
        <w:t xml:space="preserve"> </w:t>
      </w:r>
      <w:r w:rsidRPr="00297749">
        <w:rPr>
          <w:sz w:val="22"/>
          <w:szCs w:val="22"/>
        </w:rPr>
        <w:t>–</w:t>
      </w:r>
      <w:r w:rsidR="007E54E4" w:rsidRPr="00297749">
        <w:rPr>
          <w:sz w:val="22"/>
          <w:szCs w:val="22"/>
        </w:rPr>
        <w:t xml:space="preserve"> </w:t>
      </w:r>
      <w:r w:rsidRPr="00297749">
        <w:rPr>
          <w:sz w:val="22"/>
          <w:szCs w:val="22"/>
        </w:rPr>
        <w:t xml:space="preserve">the majority of both intercept and online survey respondents reported that they like most of the placemaking </w:t>
      </w:r>
      <w:r w:rsidR="00B42446" w:rsidRPr="00297749">
        <w:rPr>
          <w:sz w:val="22"/>
          <w:szCs w:val="22"/>
        </w:rPr>
        <w:t>initiatives that were tested through the surveys,</w:t>
      </w:r>
      <w:r w:rsidR="00866D31">
        <w:rPr>
          <w:sz w:val="22"/>
          <w:szCs w:val="22"/>
        </w:rPr>
        <w:t xml:space="preserve"> although </w:t>
      </w:r>
      <w:r w:rsidR="00ED5987">
        <w:rPr>
          <w:sz w:val="22"/>
          <w:szCs w:val="22"/>
        </w:rPr>
        <w:t xml:space="preserve">only </w:t>
      </w:r>
      <w:r w:rsidR="00840328" w:rsidRPr="00297749">
        <w:rPr>
          <w:sz w:val="22"/>
          <w:szCs w:val="22"/>
        </w:rPr>
        <w:t xml:space="preserve">a minority of respondents liked the bronze paper stacks and chairs, the concrete etched </w:t>
      </w:r>
      <w:r w:rsidR="00297749" w:rsidRPr="00297749">
        <w:rPr>
          <w:sz w:val="22"/>
          <w:szCs w:val="22"/>
        </w:rPr>
        <w:t>designs,</w:t>
      </w:r>
      <w:r w:rsidR="00840328" w:rsidRPr="00297749">
        <w:rPr>
          <w:sz w:val="22"/>
          <w:szCs w:val="22"/>
        </w:rPr>
        <w:t xml:space="preserve"> and seats, and some </w:t>
      </w:r>
      <w:r w:rsidR="00297749" w:rsidRPr="00297749">
        <w:rPr>
          <w:sz w:val="22"/>
          <w:szCs w:val="22"/>
        </w:rPr>
        <w:t>of the murals on commercial buildings, street art on service and utility infrastructure, and colourful planters.</w:t>
      </w:r>
    </w:p>
    <w:p w14:paraId="30BCAEC1" w14:textId="77777777" w:rsidR="00804855" w:rsidRPr="00297749" w:rsidRDefault="00804855" w:rsidP="00804855">
      <w:pPr>
        <w:pStyle w:val="ListParagraph"/>
        <w:rPr>
          <w:sz w:val="22"/>
          <w:szCs w:val="22"/>
        </w:rPr>
      </w:pPr>
    </w:p>
    <w:p w14:paraId="1086CA1F" w14:textId="6BA357F9" w:rsidR="00A11299" w:rsidRDefault="009D34D2" w:rsidP="00DA6D73">
      <w:pPr>
        <w:pStyle w:val="ListParagraph"/>
        <w:numPr>
          <w:ilvl w:val="0"/>
          <w:numId w:val="31"/>
        </w:numPr>
        <w:jc w:val="both"/>
        <w:rPr>
          <w:sz w:val="22"/>
          <w:szCs w:val="22"/>
        </w:rPr>
      </w:pPr>
      <w:r w:rsidRPr="00727D71">
        <w:rPr>
          <w:b/>
          <w:bCs/>
          <w:i/>
          <w:iCs/>
          <w:sz w:val="22"/>
          <w:szCs w:val="22"/>
        </w:rPr>
        <w:t xml:space="preserve">Liking the placemaking </w:t>
      </w:r>
      <w:r w:rsidR="00F87EB1" w:rsidRPr="00727D71">
        <w:rPr>
          <w:b/>
          <w:bCs/>
          <w:i/>
          <w:iCs/>
          <w:sz w:val="22"/>
          <w:szCs w:val="22"/>
        </w:rPr>
        <w:t>initiatives</w:t>
      </w:r>
      <w:r w:rsidR="007E54E4" w:rsidRPr="00727D71">
        <w:rPr>
          <w:sz w:val="22"/>
          <w:szCs w:val="22"/>
        </w:rPr>
        <w:t xml:space="preserve"> –</w:t>
      </w:r>
      <w:r w:rsidR="00F87EB1" w:rsidRPr="00727D71">
        <w:rPr>
          <w:sz w:val="22"/>
          <w:szCs w:val="22"/>
        </w:rPr>
        <w:t xml:space="preserve"> a minority of the intercept and online survey respondents liked </w:t>
      </w:r>
      <w:r w:rsidR="00A64959">
        <w:rPr>
          <w:sz w:val="22"/>
          <w:szCs w:val="22"/>
        </w:rPr>
        <w:t>most</w:t>
      </w:r>
      <w:r w:rsidR="00F87EB1" w:rsidRPr="00727D71">
        <w:rPr>
          <w:sz w:val="22"/>
          <w:szCs w:val="22"/>
        </w:rPr>
        <w:t xml:space="preserve"> of the seven initiatives, </w:t>
      </w:r>
      <w:r w:rsidR="00582EC6">
        <w:rPr>
          <w:sz w:val="22"/>
          <w:szCs w:val="22"/>
        </w:rPr>
        <w:t>although</w:t>
      </w:r>
      <w:r w:rsidR="00F87EB1" w:rsidRPr="00727D71">
        <w:rPr>
          <w:sz w:val="22"/>
          <w:szCs w:val="22"/>
        </w:rPr>
        <w:t xml:space="preserve"> </w:t>
      </w:r>
      <w:r w:rsidR="001671A3" w:rsidRPr="00727D71">
        <w:rPr>
          <w:sz w:val="22"/>
          <w:szCs w:val="22"/>
        </w:rPr>
        <w:t>61% of intercept survey respondents lik</w:t>
      </w:r>
      <w:r w:rsidR="00582EC6">
        <w:rPr>
          <w:sz w:val="22"/>
          <w:szCs w:val="22"/>
        </w:rPr>
        <w:t>ed</w:t>
      </w:r>
      <w:r w:rsidR="001671A3" w:rsidRPr="00727D71">
        <w:rPr>
          <w:sz w:val="22"/>
          <w:szCs w:val="22"/>
        </w:rPr>
        <w:t xml:space="preserve"> the spacelets for outdoor dining, 80% of online survey respondents </w:t>
      </w:r>
      <w:r w:rsidR="00582EC6">
        <w:rPr>
          <w:sz w:val="22"/>
          <w:szCs w:val="22"/>
        </w:rPr>
        <w:t>liked</w:t>
      </w:r>
      <w:r w:rsidR="001671A3" w:rsidRPr="00727D71">
        <w:rPr>
          <w:sz w:val="22"/>
          <w:szCs w:val="22"/>
        </w:rPr>
        <w:t xml:space="preserve"> the street art, 68% </w:t>
      </w:r>
      <w:r w:rsidR="00582EC6">
        <w:rPr>
          <w:sz w:val="22"/>
          <w:szCs w:val="22"/>
        </w:rPr>
        <w:t>liked</w:t>
      </w:r>
      <w:r w:rsidR="001671A3" w:rsidRPr="00727D71">
        <w:rPr>
          <w:sz w:val="22"/>
          <w:szCs w:val="22"/>
        </w:rPr>
        <w:t xml:space="preserve"> the creatively designed recreation features, and 60% </w:t>
      </w:r>
      <w:r w:rsidR="00582EC6">
        <w:rPr>
          <w:sz w:val="22"/>
          <w:szCs w:val="22"/>
        </w:rPr>
        <w:t>liked</w:t>
      </w:r>
      <w:r w:rsidR="001671A3" w:rsidRPr="00727D71">
        <w:rPr>
          <w:sz w:val="22"/>
          <w:szCs w:val="22"/>
        </w:rPr>
        <w:t xml:space="preserve"> the large outdoor chess set.</w:t>
      </w:r>
    </w:p>
    <w:p w14:paraId="07C9B841" w14:textId="77777777" w:rsidR="00D165FC" w:rsidRPr="00A64959" w:rsidRDefault="00D165FC" w:rsidP="00D165FC">
      <w:pPr>
        <w:pStyle w:val="ListParagraph"/>
        <w:rPr>
          <w:sz w:val="16"/>
          <w:szCs w:val="16"/>
        </w:rPr>
      </w:pPr>
    </w:p>
    <w:p w14:paraId="11F3C9E5" w14:textId="62F7AE0F" w:rsidR="00012699" w:rsidRPr="00911DFF" w:rsidRDefault="00D165FC" w:rsidP="009A6FA4">
      <w:pPr>
        <w:pStyle w:val="ListParagraph"/>
        <w:numPr>
          <w:ilvl w:val="1"/>
          <w:numId w:val="31"/>
        </w:numPr>
        <w:jc w:val="both"/>
        <w:rPr>
          <w:sz w:val="22"/>
          <w:szCs w:val="22"/>
        </w:rPr>
      </w:pPr>
      <w:r w:rsidRPr="00911DFF">
        <w:rPr>
          <w:sz w:val="22"/>
          <w:szCs w:val="22"/>
        </w:rPr>
        <w:t xml:space="preserve">The main reasons why </w:t>
      </w:r>
      <w:r w:rsidR="00012699" w:rsidRPr="00911DFF">
        <w:rPr>
          <w:sz w:val="22"/>
          <w:szCs w:val="22"/>
        </w:rPr>
        <w:t xml:space="preserve">intercept survey </w:t>
      </w:r>
      <w:r w:rsidRPr="00911DFF">
        <w:rPr>
          <w:sz w:val="22"/>
          <w:szCs w:val="22"/>
        </w:rPr>
        <w:t xml:space="preserve">respondents liked the placemaking initiatives were that </w:t>
      </w:r>
      <w:r w:rsidR="00012699" w:rsidRPr="00911DFF">
        <w:rPr>
          <w:sz w:val="22"/>
          <w:szCs w:val="22"/>
        </w:rPr>
        <w:t>they encourage people to get together</w:t>
      </w:r>
      <w:r w:rsidR="00C637CC">
        <w:rPr>
          <w:sz w:val="22"/>
          <w:szCs w:val="22"/>
        </w:rPr>
        <w:t xml:space="preserve"> (61%)</w:t>
      </w:r>
      <w:r w:rsidR="00911DFF" w:rsidRPr="00911DFF">
        <w:rPr>
          <w:sz w:val="22"/>
          <w:szCs w:val="22"/>
        </w:rPr>
        <w:t xml:space="preserve">, whilst the </w:t>
      </w:r>
      <w:r w:rsidR="00012699" w:rsidRPr="00911DFF">
        <w:rPr>
          <w:sz w:val="22"/>
          <w:szCs w:val="22"/>
        </w:rPr>
        <w:t xml:space="preserve">main reasons why the online survey respondents liked the placemaking </w:t>
      </w:r>
      <w:r w:rsidR="00911DFF" w:rsidRPr="00911DFF">
        <w:rPr>
          <w:sz w:val="22"/>
          <w:szCs w:val="22"/>
        </w:rPr>
        <w:t>initiatives</w:t>
      </w:r>
      <w:r w:rsidR="00012699" w:rsidRPr="00911DFF">
        <w:rPr>
          <w:sz w:val="22"/>
          <w:szCs w:val="22"/>
        </w:rPr>
        <w:t xml:space="preserve"> were </w:t>
      </w:r>
      <w:r w:rsidR="00911DFF">
        <w:rPr>
          <w:sz w:val="22"/>
          <w:szCs w:val="22"/>
        </w:rPr>
        <w:t>that they make a place feel livelier</w:t>
      </w:r>
      <w:r w:rsidR="00363EB5">
        <w:rPr>
          <w:sz w:val="22"/>
          <w:szCs w:val="22"/>
        </w:rPr>
        <w:t xml:space="preserve"> (79%) and encourages people to get together (73%).</w:t>
      </w:r>
    </w:p>
    <w:p w14:paraId="1E318559" w14:textId="77777777" w:rsidR="00D165FC" w:rsidRPr="00D165FC" w:rsidRDefault="00D165FC" w:rsidP="00D165FC">
      <w:pPr>
        <w:pStyle w:val="ListParagraph"/>
        <w:rPr>
          <w:sz w:val="22"/>
          <w:szCs w:val="22"/>
        </w:rPr>
      </w:pPr>
    </w:p>
    <w:p w14:paraId="2D2CBEB3" w14:textId="28D422E8" w:rsidR="00710AEA" w:rsidRPr="00710AEA" w:rsidRDefault="009D1A47" w:rsidP="007C221E">
      <w:pPr>
        <w:pStyle w:val="ListParagraph"/>
        <w:numPr>
          <w:ilvl w:val="0"/>
          <w:numId w:val="36"/>
        </w:numPr>
        <w:jc w:val="both"/>
        <w:rPr>
          <w:sz w:val="22"/>
          <w:szCs w:val="22"/>
        </w:rPr>
      </w:pPr>
      <w:r w:rsidRPr="009D1A47">
        <w:rPr>
          <w:b/>
          <w:bCs/>
          <w:i/>
          <w:iCs/>
          <w:sz w:val="22"/>
          <w:szCs w:val="22"/>
        </w:rPr>
        <w:t xml:space="preserve">Local shopping precincts enhance and contribute to centre’s character </w:t>
      </w:r>
      <w:r w:rsidR="00C075DE" w:rsidRPr="00710AEA">
        <w:rPr>
          <w:sz w:val="22"/>
          <w:szCs w:val="22"/>
        </w:rPr>
        <w:t xml:space="preserve">– </w:t>
      </w:r>
      <w:r w:rsidR="00842673">
        <w:rPr>
          <w:sz w:val="22"/>
          <w:szCs w:val="22"/>
        </w:rPr>
        <w:t>t</w:t>
      </w:r>
      <w:r w:rsidR="00710AEA" w:rsidRPr="00710AEA">
        <w:rPr>
          <w:sz w:val="22"/>
          <w:szCs w:val="22"/>
        </w:rPr>
        <w:t>he most common ways by which both intercept survey (20%) and online survey (23%) respondents felt that local shopping precincts enhance and contribute to a centre’s local character were through the variety of shops and other businesses within the centre.  The diversity of people (11%) and trees, greenery, and planting (10%) were also commonly nominated by intercept survey respondents, whilst online respondents also nominated vibe / community atmosphere (17%) and updates to the precinct / maintenance / art / décor (13%) as enhancements that could contribute to character.</w:t>
      </w:r>
    </w:p>
    <w:p w14:paraId="27E37CB1" w14:textId="77777777" w:rsidR="00C075DE" w:rsidRPr="00C075DE" w:rsidRDefault="00C075DE" w:rsidP="00C075DE">
      <w:pPr>
        <w:pStyle w:val="ListParagraph"/>
        <w:jc w:val="both"/>
        <w:rPr>
          <w:sz w:val="22"/>
          <w:szCs w:val="22"/>
        </w:rPr>
      </w:pPr>
    </w:p>
    <w:p w14:paraId="426EDEAA" w14:textId="65988A12" w:rsidR="00375D10" w:rsidRDefault="00710AEA" w:rsidP="008D1699">
      <w:pPr>
        <w:pStyle w:val="ListParagraph"/>
        <w:numPr>
          <w:ilvl w:val="0"/>
          <w:numId w:val="31"/>
        </w:numPr>
        <w:jc w:val="both"/>
        <w:rPr>
          <w:sz w:val="22"/>
          <w:szCs w:val="22"/>
        </w:rPr>
      </w:pPr>
      <w:r w:rsidRPr="00710AEA">
        <w:rPr>
          <w:b/>
          <w:bCs/>
          <w:i/>
          <w:iCs/>
          <w:sz w:val="22"/>
          <w:szCs w:val="22"/>
        </w:rPr>
        <w:lastRenderedPageBreak/>
        <w:t>Centre-specific characteristics to preserve / improve</w:t>
      </w:r>
      <w:r w:rsidR="00375D10" w:rsidRPr="00375D10">
        <w:rPr>
          <w:sz w:val="22"/>
          <w:szCs w:val="22"/>
        </w:rPr>
        <w:t xml:space="preserve"> - the most common centre-specific improvements, or characteristics that respondents want to preserve were focused on the quality of greenery including trees and other plantings, art and beautification including art, décor, sculpture, and other beautification works, the range of quality of shops and dining venues of various types.  There were also references made to planning and heritage preservation in some centres, as well as amenities including seating, lighting, bins, and other infrastructure. </w:t>
      </w:r>
    </w:p>
    <w:p w14:paraId="3260EF1C" w14:textId="77777777" w:rsidR="00375D10" w:rsidRPr="00375D10" w:rsidRDefault="00375D10" w:rsidP="00375D10">
      <w:pPr>
        <w:pStyle w:val="ListParagraph"/>
        <w:rPr>
          <w:sz w:val="22"/>
          <w:szCs w:val="22"/>
        </w:rPr>
      </w:pPr>
    </w:p>
    <w:p w14:paraId="49A8B801" w14:textId="77777777" w:rsidR="00C075DE" w:rsidRDefault="00C075DE" w:rsidP="00C075DE">
      <w:pPr>
        <w:pStyle w:val="ListParagraph"/>
        <w:numPr>
          <w:ilvl w:val="0"/>
          <w:numId w:val="31"/>
        </w:numPr>
        <w:jc w:val="both"/>
        <w:rPr>
          <w:sz w:val="22"/>
          <w:szCs w:val="22"/>
        </w:rPr>
      </w:pPr>
      <w:r w:rsidRPr="00375D10">
        <w:rPr>
          <w:b/>
          <w:bCs/>
          <w:i/>
          <w:iCs/>
          <w:sz w:val="22"/>
          <w:szCs w:val="22"/>
        </w:rPr>
        <w:t>Reasons why local shopping precincts are important</w:t>
      </w:r>
      <w:r w:rsidRPr="00375D10">
        <w:rPr>
          <w:sz w:val="22"/>
          <w:szCs w:val="22"/>
        </w:rPr>
        <w:t xml:space="preserve"> – the main reasons identified by intercept survey respondents were the variety and number of shops and restaurants, whilst the main reasons identified by online survey respondents were the community feel / atmosphere.</w:t>
      </w:r>
    </w:p>
    <w:p w14:paraId="124859E7" w14:textId="11BFB1C7" w:rsidR="004122A3" w:rsidRDefault="004122A3" w:rsidP="000807D2">
      <w:pPr>
        <w:pStyle w:val="Heading2"/>
        <w:rPr>
          <w:sz w:val="24"/>
        </w:rPr>
      </w:pPr>
      <w:bookmarkStart w:id="7" w:name="_Toc500947196"/>
      <w:r w:rsidRPr="00B5258A">
        <w:rPr>
          <w:sz w:val="24"/>
        </w:rPr>
        <w:t>Support for actions</w:t>
      </w:r>
      <w:bookmarkEnd w:id="7"/>
    </w:p>
    <w:p w14:paraId="75F9E62F" w14:textId="61577EF6" w:rsidR="007A0181" w:rsidRPr="000F333D" w:rsidRDefault="00C65A5F" w:rsidP="00EE1AEE">
      <w:pPr>
        <w:jc w:val="both"/>
        <w:rPr>
          <w:sz w:val="22"/>
          <w:szCs w:val="22"/>
        </w:rPr>
      </w:pPr>
      <w:r w:rsidRPr="000F333D">
        <w:rPr>
          <w:sz w:val="22"/>
          <w:szCs w:val="22"/>
        </w:rPr>
        <w:t>The key finding</w:t>
      </w:r>
      <w:r w:rsidR="009C7432" w:rsidRPr="000F333D">
        <w:rPr>
          <w:sz w:val="22"/>
          <w:szCs w:val="22"/>
        </w:rPr>
        <w:t>s</w:t>
      </w:r>
      <w:r w:rsidRPr="000F333D">
        <w:rPr>
          <w:sz w:val="22"/>
          <w:szCs w:val="22"/>
        </w:rPr>
        <w:t xml:space="preserve"> from the </w:t>
      </w:r>
      <w:r w:rsidR="00AE5139" w:rsidRPr="000F333D">
        <w:rPr>
          <w:sz w:val="22"/>
          <w:szCs w:val="22"/>
        </w:rPr>
        <w:t xml:space="preserve">consultation exercise </w:t>
      </w:r>
      <w:r w:rsidR="000F333D" w:rsidRPr="000F333D">
        <w:rPr>
          <w:sz w:val="22"/>
          <w:szCs w:val="22"/>
        </w:rPr>
        <w:t>were</w:t>
      </w:r>
      <w:r w:rsidR="00AE5139" w:rsidRPr="000F333D">
        <w:rPr>
          <w:sz w:val="22"/>
          <w:szCs w:val="22"/>
        </w:rPr>
        <w:t xml:space="preserve"> that </w:t>
      </w:r>
      <w:r w:rsidR="00842673" w:rsidRPr="000F333D">
        <w:rPr>
          <w:sz w:val="22"/>
          <w:szCs w:val="22"/>
        </w:rPr>
        <w:t xml:space="preserve">the majority of respondents </w:t>
      </w:r>
      <w:r w:rsidR="007C6756">
        <w:rPr>
          <w:sz w:val="22"/>
          <w:szCs w:val="22"/>
        </w:rPr>
        <w:t>we</w:t>
      </w:r>
      <w:r w:rsidR="007A0181" w:rsidRPr="000F333D">
        <w:rPr>
          <w:sz w:val="22"/>
          <w:szCs w:val="22"/>
        </w:rPr>
        <w:t xml:space="preserve">re satisfied with their local activity centre to the point that they would recommend it as a place </w:t>
      </w:r>
      <w:r w:rsidR="000F333D" w:rsidRPr="000F333D">
        <w:rPr>
          <w:sz w:val="22"/>
          <w:szCs w:val="22"/>
        </w:rPr>
        <w:t>to</w:t>
      </w:r>
      <w:r w:rsidR="007A0181" w:rsidRPr="000F333D">
        <w:rPr>
          <w:sz w:val="22"/>
          <w:szCs w:val="22"/>
        </w:rPr>
        <w:t xml:space="preserve"> visit to family and/ or friends.</w:t>
      </w:r>
    </w:p>
    <w:p w14:paraId="3EF42F36" w14:textId="05C7B102" w:rsidR="00C11F01" w:rsidRDefault="00C11F01" w:rsidP="00EE1AEE">
      <w:pPr>
        <w:jc w:val="both"/>
        <w:rPr>
          <w:sz w:val="22"/>
          <w:szCs w:val="22"/>
        </w:rPr>
      </w:pPr>
      <w:r>
        <w:rPr>
          <w:sz w:val="22"/>
          <w:szCs w:val="22"/>
        </w:rPr>
        <w:t>There were mixed results in relation to how well existing placemaking features were working across the activity centres, with intercept survey respondents reporting relatively “solid” to “good” levels</w:t>
      </w:r>
      <w:r w:rsidR="00B3626A">
        <w:rPr>
          <w:sz w:val="22"/>
          <w:szCs w:val="22"/>
        </w:rPr>
        <w:t xml:space="preserve">, whilst the self-selected online survey respondents tended to rate how well these features were working at “poor” to “very poor” levels.  </w:t>
      </w:r>
    </w:p>
    <w:p w14:paraId="4D2CDEF2" w14:textId="1F30B08E" w:rsidR="00672806" w:rsidRPr="000F333D" w:rsidRDefault="007A0181" w:rsidP="00EE1AEE">
      <w:pPr>
        <w:jc w:val="both"/>
        <w:rPr>
          <w:sz w:val="22"/>
          <w:szCs w:val="22"/>
        </w:rPr>
      </w:pPr>
      <w:r w:rsidRPr="000F333D">
        <w:rPr>
          <w:sz w:val="22"/>
          <w:szCs w:val="22"/>
        </w:rPr>
        <w:t>Vibrancy at night in the seven activity centres was relatively modest</w:t>
      </w:r>
      <w:r w:rsidR="005B65E3">
        <w:rPr>
          <w:sz w:val="22"/>
          <w:szCs w:val="22"/>
        </w:rPr>
        <w:t>.</w:t>
      </w:r>
    </w:p>
    <w:p w14:paraId="598567E7" w14:textId="77777777" w:rsidR="003E7387" w:rsidRPr="007E76CB" w:rsidRDefault="003E7387" w:rsidP="007E76CB">
      <w:pPr>
        <w:jc w:val="both"/>
        <w:rPr>
          <w:sz w:val="22"/>
          <w:szCs w:val="22"/>
        </w:rPr>
      </w:pPr>
      <w:bookmarkStart w:id="8" w:name="_Hlk157092128"/>
      <w:r w:rsidRPr="007E76CB">
        <w:rPr>
          <w:sz w:val="22"/>
          <w:szCs w:val="22"/>
        </w:rPr>
        <w:t>The placemaking initiatives that were specific to each centre were mostly well received by respondents and supported.</w:t>
      </w:r>
    </w:p>
    <w:p w14:paraId="06135B5D" w14:textId="5CAFFBDC" w:rsidR="000F333D" w:rsidRPr="000F333D" w:rsidRDefault="00587311" w:rsidP="00EE1AEE">
      <w:pPr>
        <w:jc w:val="both"/>
        <w:rPr>
          <w:sz w:val="22"/>
          <w:szCs w:val="22"/>
        </w:rPr>
      </w:pPr>
      <w:r w:rsidRPr="000F333D">
        <w:rPr>
          <w:sz w:val="22"/>
          <w:szCs w:val="22"/>
        </w:rPr>
        <w:t xml:space="preserve">There was, however, </w:t>
      </w:r>
      <w:r w:rsidR="00BA1673" w:rsidRPr="000F333D">
        <w:rPr>
          <w:sz w:val="22"/>
          <w:szCs w:val="22"/>
        </w:rPr>
        <w:t xml:space="preserve">mixed views about the seven placemaking initiatives </w:t>
      </w:r>
      <w:r w:rsidR="00394DB4">
        <w:rPr>
          <w:sz w:val="22"/>
          <w:szCs w:val="22"/>
        </w:rPr>
        <w:t xml:space="preserve">from all centres </w:t>
      </w:r>
      <w:r w:rsidR="00BA1673" w:rsidRPr="000F333D">
        <w:rPr>
          <w:sz w:val="22"/>
          <w:szCs w:val="22"/>
        </w:rPr>
        <w:t>that were asked of all respondents</w:t>
      </w:r>
      <w:r w:rsidR="000F333D" w:rsidRPr="000F333D">
        <w:rPr>
          <w:sz w:val="22"/>
          <w:szCs w:val="22"/>
        </w:rPr>
        <w:t>.</w:t>
      </w:r>
    </w:p>
    <w:bookmarkEnd w:id="8"/>
    <w:p w14:paraId="3FDE904C" w14:textId="21BDB69D" w:rsidR="003F38DA" w:rsidRPr="000F333D" w:rsidRDefault="00F1225D" w:rsidP="000F333D">
      <w:pPr>
        <w:rPr>
          <w:sz w:val="22"/>
          <w:szCs w:val="22"/>
        </w:rPr>
      </w:pPr>
      <w:r w:rsidRPr="000F333D">
        <w:rPr>
          <w:sz w:val="22"/>
          <w:szCs w:val="22"/>
        </w:rPr>
        <w:t xml:space="preserve">  </w:t>
      </w:r>
    </w:p>
    <w:p w14:paraId="43C32C1A" w14:textId="26F4D3AA" w:rsidR="008435B0" w:rsidRPr="00B5258A" w:rsidRDefault="008435B0" w:rsidP="000807D2">
      <w:pPr>
        <w:pStyle w:val="Heading2"/>
        <w:rPr>
          <w:sz w:val="24"/>
        </w:rPr>
      </w:pPr>
      <w:bookmarkStart w:id="9" w:name="_Toc500947200"/>
      <w:r w:rsidRPr="00B5258A">
        <w:rPr>
          <w:sz w:val="24"/>
        </w:rPr>
        <w:t>Item-specific feedback</w:t>
      </w:r>
      <w:bookmarkEnd w:id="9"/>
    </w:p>
    <w:p w14:paraId="2AAA9406" w14:textId="3C159020" w:rsidR="00814068" w:rsidRDefault="00B66BAA" w:rsidP="006F02DA">
      <w:pPr>
        <w:jc w:val="both"/>
        <w:rPr>
          <w:sz w:val="22"/>
        </w:rPr>
      </w:pPr>
      <w:r w:rsidRPr="00DA61E7">
        <w:rPr>
          <w:sz w:val="22"/>
        </w:rPr>
        <w:t xml:space="preserve">The following sections outline the summarised results for each of the questions included in the intercept and online surveys, including </w:t>
      </w:r>
      <w:r w:rsidR="00DA61E7" w:rsidRPr="00DA61E7">
        <w:rPr>
          <w:sz w:val="22"/>
        </w:rPr>
        <w:t>their engagement with and views about each of the seven activity centres, as well as their views about the seven placemaking initiatives, and their broader views about the role of activity centres within the community.</w:t>
      </w:r>
    </w:p>
    <w:p w14:paraId="247C89B1" w14:textId="77777777" w:rsidR="00827EAA" w:rsidRPr="00DA61E7" w:rsidRDefault="00827EAA" w:rsidP="006F02DA">
      <w:pPr>
        <w:jc w:val="both"/>
        <w:rPr>
          <w:sz w:val="22"/>
        </w:rPr>
      </w:pPr>
    </w:p>
    <w:p w14:paraId="7AFC1D69" w14:textId="77777777" w:rsidR="00827EAA" w:rsidRDefault="00827EAA" w:rsidP="00827EAA">
      <w:pPr>
        <w:pStyle w:val="Heading3"/>
        <w:rPr>
          <w:sz w:val="22"/>
        </w:rPr>
      </w:pPr>
      <w:bookmarkStart w:id="10" w:name="_Toc500947201"/>
      <w:r>
        <w:rPr>
          <w:sz w:val="22"/>
        </w:rPr>
        <w:t>Reasons and timing for visiting the seven activity centres:</w:t>
      </w:r>
    </w:p>
    <w:p w14:paraId="0EB1235B" w14:textId="52433B68" w:rsidR="00827EAA" w:rsidRDefault="00827EAA" w:rsidP="00827EAA">
      <w:pPr>
        <w:jc w:val="both"/>
        <w:rPr>
          <w:sz w:val="22"/>
          <w:szCs w:val="22"/>
        </w:rPr>
      </w:pPr>
      <w:r>
        <w:rPr>
          <w:sz w:val="22"/>
          <w:szCs w:val="22"/>
        </w:rPr>
        <w:t>A majority of the random sample intercept survey respondents were most likely to visit the seven activity centres for shopping, dining, and socialising, most often both during business hours and after hours.</w:t>
      </w:r>
      <w:r w:rsidR="007E43D2">
        <w:rPr>
          <w:sz w:val="22"/>
          <w:szCs w:val="22"/>
        </w:rPr>
        <w:t xml:space="preserve">  </w:t>
      </w:r>
      <w:r>
        <w:rPr>
          <w:sz w:val="22"/>
          <w:szCs w:val="22"/>
        </w:rPr>
        <w:t>The intercept survey respondents were significantly less likely to visit the activity centres for exercise.</w:t>
      </w:r>
    </w:p>
    <w:p w14:paraId="3CA61241" w14:textId="77777777" w:rsidR="00827EAA" w:rsidRDefault="00827EAA" w:rsidP="00827EAA">
      <w:pPr>
        <w:jc w:val="center"/>
        <w:rPr>
          <w:sz w:val="22"/>
          <w:szCs w:val="22"/>
        </w:rPr>
      </w:pPr>
      <w:r w:rsidRPr="00BD4960">
        <w:rPr>
          <w:noProof/>
        </w:rPr>
        <w:lastRenderedPageBreak/>
        <w:drawing>
          <wp:inline distT="0" distB="0" distL="0" distR="0" wp14:anchorId="1402B1F4" wp14:editId="4671A25A">
            <wp:extent cx="5274310" cy="2127885"/>
            <wp:effectExtent l="0" t="0" r="2540" b="0"/>
            <wp:docPr id="1027307130" name="Picture 102730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127885"/>
                    </a:xfrm>
                    <a:prstGeom prst="rect">
                      <a:avLst/>
                    </a:prstGeom>
                    <a:noFill/>
                    <a:ln>
                      <a:noFill/>
                    </a:ln>
                  </pic:spPr>
                </pic:pic>
              </a:graphicData>
            </a:graphic>
          </wp:inline>
        </w:drawing>
      </w:r>
    </w:p>
    <w:p w14:paraId="4A172A4B" w14:textId="58BAFF3A" w:rsidR="00827EAA" w:rsidRDefault="00827EAA" w:rsidP="00827EAA">
      <w:pPr>
        <w:jc w:val="both"/>
        <w:rPr>
          <w:sz w:val="22"/>
          <w:szCs w:val="22"/>
        </w:rPr>
      </w:pPr>
      <w:r>
        <w:rPr>
          <w:sz w:val="22"/>
          <w:szCs w:val="22"/>
        </w:rPr>
        <w:t>These results reinforce the view of the activity centres as principally a shopping destination for the local community, with significant secondary roles as a location for dining out as well as socialising.</w:t>
      </w:r>
    </w:p>
    <w:p w14:paraId="23B1440D" w14:textId="06FD3335" w:rsidR="00827EAA" w:rsidRDefault="00827EAA" w:rsidP="00827EAA">
      <w:pPr>
        <w:pStyle w:val="Heading3"/>
        <w:rPr>
          <w:sz w:val="22"/>
        </w:rPr>
      </w:pPr>
      <w:r>
        <w:rPr>
          <w:sz w:val="22"/>
        </w:rPr>
        <w:t>Duration of usual visits to the activity centres</w:t>
      </w:r>
    </w:p>
    <w:p w14:paraId="628C7ADE" w14:textId="77777777" w:rsidR="00827EAA" w:rsidRDefault="00827EAA" w:rsidP="00827EAA">
      <w:pPr>
        <w:jc w:val="both"/>
        <w:rPr>
          <w:sz w:val="22"/>
        </w:rPr>
      </w:pPr>
      <w:r>
        <w:rPr>
          <w:sz w:val="22"/>
        </w:rPr>
        <w:t>The majority of both random sample intercept (52%) and self-selected online (51%) survey respondents reported that they typically visit the activity centre for a “medium” period of time, for example, they might go with a purpose in mind but end up shopping to window stop or have a coffee.</w:t>
      </w:r>
    </w:p>
    <w:p w14:paraId="42526FD0" w14:textId="77777777" w:rsidR="00827EAA" w:rsidRDefault="00827EAA" w:rsidP="00827EAA">
      <w:pPr>
        <w:jc w:val="center"/>
        <w:rPr>
          <w:sz w:val="22"/>
        </w:rPr>
      </w:pPr>
      <w:r w:rsidRPr="008C7BC3">
        <w:rPr>
          <w:noProof/>
        </w:rPr>
        <w:drawing>
          <wp:inline distT="0" distB="0" distL="0" distR="0" wp14:anchorId="106E1FD4" wp14:editId="6BC7C647">
            <wp:extent cx="4829175" cy="2886075"/>
            <wp:effectExtent l="0" t="0" r="9525" b="0"/>
            <wp:docPr id="1711044089" name="Picture 171104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9175" cy="2886075"/>
                    </a:xfrm>
                    <a:prstGeom prst="rect">
                      <a:avLst/>
                    </a:prstGeom>
                    <a:noFill/>
                    <a:ln>
                      <a:noFill/>
                    </a:ln>
                  </pic:spPr>
                </pic:pic>
              </a:graphicData>
            </a:graphic>
          </wp:inline>
        </w:drawing>
      </w:r>
    </w:p>
    <w:p w14:paraId="6F985E3E" w14:textId="77777777" w:rsidR="00827EAA" w:rsidRDefault="00827EAA" w:rsidP="00827EAA">
      <w:pPr>
        <w:jc w:val="both"/>
        <w:rPr>
          <w:sz w:val="22"/>
        </w:rPr>
      </w:pPr>
      <w:r>
        <w:rPr>
          <w:sz w:val="22"/>
        </w:rPr>
        <w:t>These results reinforce the role of the activity centres as primarily for grocery and similar types of shopping, but with significant secondary roles for dining out and socialising.</w:t>
      </w:r>
    </w:p>
    <w:p w14:paraId="43646F01" w14:textId="77777777" w:rsidR="00827EAA" w:rsidRDefault="00827EAA" w:rsidP="00827EAA">
      <w:pPr>
        <w:rPr>
          <w:sz w:val="22"/>
        </w:rPr>
      </w:pPr>
    </w:p>
    <w:p w14:paraId="7F034437" w14:textId="77777777" w:rsidR="00827EAA" w:rsidRDefault="00827EAA" w:rsidP="00827EAA">
      <w:pPr>
        <w:pStyle w:val="Heading3"/>
        <w:rPr>
          <w:sz w:val="22"/>
        </w:rPr>
      </w:pPr>
      <w:r>
        <w:rPr>
          <w:sz w:val="22"/>
        </w:rPr>
        <w:t>Method of travel around the area</w:t>
      </w:r>
    </w:p>
    <w:p w14:paraId="3B5CDD6E" w14:textId="77777777" w:rsidR="00827EAA" w:rsidRDefault="00827EAA" w:rsidP="00827EAA">
      <w:pPr>
        <w:rPr>
          <w:sz w:val="22"/>
          <w:szCs w:val="22"/>
        </w:rPr>
      </w:pPr>
      <w:r w:rsidRPr="00C40E24">
        <w:rPr>
          <w:sz w:val="22"/>
          <w:szCs w:val="22"/>
        </w:rPr>
        <w:t xml:space="preserve">The majority of both </w:t>
      </w:r>
      <w:r>
        <w:rPr>
          <w:sz w:val="22"/>
          <w:szCs w:val="22"/>
        </w:rPr>
        <w:t xml:space="preserve">random sample intercept and self-selected online survey respondents reported that they typically travel around the area by car and by walking.  </w:t>
      </w:r>
    </w:p>
    <w:p w14:paraId="74A78AB7" w14:textId="77777777" w:rsidR="00827EAA" w:rsidRDefault="00827EAA" w:rsidP="00827EAA">
      <w:pPr>
        <w:jc w:val="center"/>
        <w:rPr>
          <w:sz w:val="22"/>
          <w:szCs w:val="22"/>
        </w:rPr>
      </w:pPr>
      <w:r w:rsidRPr="008C7BC3">
        <w:rPr>
          <w:noProof/>
        </w:rPr>
        <w:lastRenderedPageBreak/>
        <w:drawing>
          <wp:inline distT="0" distB="0" distL="0" distR="0" wp14:anchorId="6A0E8FD2" wp14:editId="4BB05935">
            <wp:extent cx="4829175" cy="2733675"/>
            <wp:effectExtent l="0" t="0" r="9525" b="0"/>
            <wp:docPr id="493554436" name="Picture 493554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9175" cy="2733675"/>
                    </a:xfrm>
                    <a:prstGeom prst="rect">
                      <a:avLst/>
                    </a:prstGeom>
                    <a:noFill/>
                    <a:ln>
                      <a:noFill/>
                    </a:ln>
                  </pic:spPr>
                </pic:pic>
              </a:graphicData>
            </a:graphic>
          </wp:inline>
        </w:drawing>
      </w:r>
    </w:p>
    <w:p w14:paraId="4F159130" w14:textId="7A0F7AB3" w:rsidR="00AD5BDC" w:rsidRDefault="00827EAA" w:rsidP="00827EAA">
      <w:pPr>
        <w:jc w:val="both"/>
        <w:rPr>
          <w:sz w:val="22"/>
          <w:szCs w:val="22"/>
        </w:rPr>
      </w:pPr>
      <w:r>
        <w:rPr>
          <w:sz w:val="22"/>
          <w:szCs w:val="22"/>
        </w:rPr>
        <w:t>These results, whil</w:t>
      </w:r>
      <w:r w:rsidR="00636B71">
        <w:rPr>
          <w:sz w:val="22"/>
          <w:szCs w:val="22"/>
        </w:rPr>
        <w:t>e</w:t>
      </w:r>
      <w:r>
        <w:rPr>
          <w:sz w:val="22"/>
          <w:szCs w:val="22"/>
        </w:rPr>
        <w:t xml:space="preserve"> reflecting the local nature of many visitors to the activity centres (who often walk to the centre), also highlight the continued prevalence of </w:t>
      </w:r>
      <w:r w:rsidR="00636B71">
        <w:rPr>
          <w:sz w:val="22"/>
          <w:szCs w:val="22"/>
        </w:rPr>
        <w:t>vehicle</w:t>
      </w:r>
      <w:r>
        <w:rPr>
          <w:sz w:val="22"/>
          <w:szCs w:val="22"/>
        </w:rPr>
        <w:t xml:space="preserve"> travel to these seven activity centres.  </w:t>
      </w:r>
    </w:p>
    <w:p w14:paraId="1C9C4702" w14:textId="77777777" w:rsidR="00827EAA" w:rsidRDefault="00827EAA" w:rsidP="00827EAA">
      <w:pPr>
        <w:pStyle w:val="Heading3"/>
        <w:rPr>
          <w:sz w:val="22"/>
        </w:rPr>
      </w:pPr>
      <w:r>
        <w:rPr>
          <w:sz w:val="22"/>
        </w:rPr>
        <w:t>Place for people to get together in / around the activity centres:</w:t>
      </w:r>
    </w:p>
    <w:p w14:paraId="325CCBF4" w14:textId="77777777" w:rsidR="00827EAA" w:rsidRDefault="00827EAA" w:rsidP="00827EAA">
      <w:pPr>
        <w:rPr>
          <w:sz w:val="22"/>
          <w:szCs w:val="22"/>
        </w:rPr>
      </w:pPr>
      <w:r>
        <w:rPr>
          <w:sz w:val="22"/>
          <w:szCs w:val="22"/>
        </w:rPr>
        <w:t>The overwhelming majority of random sample intercept (86%) and self-selected online (72%) survey respondents felt that there were places for people to get together in the seven activity centres.</w:t>
      </w:r>
    </w:p>
    <w:p w14:paraId="2D091A45" w14:textId="77777777" w:rsidR="00827EAA" w:rsidRPr="004366AF" w:rsidRDefault="00827EAA" w:rsidP="00827EAA">
      <w:pPr>
        <w:rPr>
          <w:sz w:val="22"/>
          <w:szCs w:val="22"/>
        </w:rPr>
      </w:pPr>
      <w:r>
        <w:rPr>
          <w:sz w:val="22"/>
          <w:szCs w:val="22"/>
        </w:rPr>
        <w:t>Metropolis Research notes that the older, self-selected online survey respondents were less likely than those randomly approached within the activity centres, to believe that there were places for people to get together.</w:t>
      </w:r>
    </w:p>
    <w:p w14:paraId="51419F9C" w14:textId="77777777" w:rsidR="00827EAA" w:rsidRDefault="00827EAA" w:rsidP="00827EAA">
      <w:pPr>
        <w:jc w:val="center"/>
        <w:rPr>
          <w:sz w:val="22"/>
          <w:szCs w:val="22"/>
        </w:rPr>
      </w:pPr>
      <w:r w:rsidRPr="00BD1DFF">
        <w:rPr>
          <w:noProof/>
        </w:rPr>
        <w:drawing>
          <wp:inline distT="0" distB="0" distL="0" distR="0" wp14:anchorId="475B3200" wp14:editId="109A0B7C">
            <wp:extent cx="4829175" cy="2057400"/>
            <wp:effectExtent l="0" t="0" r="9525" b="0"/>
            <wp:docPr id="626278881" name="Picture 626278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9175" cy="2057400"/>
                    </a:xfrm>
                    <a:prstGeom prst="rect">
                      <a:avLst/>
                    </a:prstGeom>
                    <a:noFill/>
                    <a:ln>
                      <a:noFill/>
                    </a:ln>
                  </pic:spPr>
                </pic:pic>
              </a:graphicData>
            </a:graphic>
          </wp:inline>
        </w:drawing>
      </w:r>
    </w:p>
    <w:p w14:paraId="5D94F5A4" w14:textId="77777777" w:rsidR="00827EAA" w:rsidRDefault="00827EAA" w:rsidP="00827EAA">
      <w:pPr>
        <w:jc w:val="both"/>
        <w:rPr>
          <w:sz w:val="22"/>
          <w:szCs w:val="22"/>
        </w:rPr>
      </w:pPr>
      <w:r>
        <w:rPr>
          <w:sz w:val="22"/>
          <w:szCs w:val="22"/>
        </w:rPr>
        <w:t>It is noted that Hampton Street (96%) recorded the highest agreement from randomly selected intercept survey respondents that there were places for people to get together, whilst Martin Street (77%) recorded the lowest agreement.</w:t>
      </w:r>
    </w:p>
    <w:p w14:paraId="36A089D7" w14:textId="77777777" w:rsidR="00827EAA" w:rsidRDefault="00827EAA" w:rsidP="00827EAA">
      <w:pPr>
        <w:jc w:val="center"/>
        <w:rPr>
          <w:sz w:val="22"/>
        </w:rPr>
      </w:pPr>
      <w:r w:rsidRPr="00BD1DFF">
        <w:rPr>
          <w:noProof/>
        </w:rPr>
        <w:lastRenderedPageBreak/>
        <w:drawing>
          <wp:inline distT="0" distB="0" distL="0" distR="0" wp14:anchorId="00B75397" wp14:editId="140E7C88">
            <wp:extent cx="5274310" cy="3318510"/>
            <wp:effectExtent l="0" t="0" r="2540" b="0"/>
            <wp:docPr id="493294762" name="Picture 493294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3318510"/>
                    </a:xfrm>
                    <a:prstGeom prst="rect">
                      <a:avLst/>
                    </a:prstGeom>
                    <a:noFill/>
                    <a:ln>
                      <a:noFill/>
                    </a:ln>
                  </pic:spPr>
                </pic:pic>
              </a:graphicData>
            </a:graphic>
          </wp:inline>
        </w:drawing>
      </w:r>
    </w:p>
    <w:p w14:paraId="47D4E136" w14:textId="77777777" w:rsidR="00827EAA" w:rsidRDefault="00827EAA" w:rsidP="00827EAA">
      <w:pPr>
        <w:jc w:val="center"/>
        <w:rPr>
          <w:sz w:val="22"/>
        </w:rPr>
      </w:pPr>
    </w:p>
    <w:p w14:paraId="4CD0A1DE" w14:textId="77777777" w:rsidR="00827EAA" w:rsidRDefault="00827EAA" w:rsidP="00827EAA">
      <w:pPr>
        <w:pStyle w:val="Heading3"/>
        <w:rPr>
          <w:sz w:val="22"/>
        </w:rPr>
      </w:pPr>
      <w:r>
        <w:rPr>
          <w:sz w:val="22"/>
        </w:rPr>
        <w:t>Vibrancy of the activity centres at night:</w:t>
      </w:r>
    </w:p>
    <w:p w14:paraId="7ADEA5E6" w14:textId="77777777" w:rsidR="00827EAA" w:rsidRDefault="00827EAA" w:rsidP="00827EAA">
      <w:pPr>
        <w:jc w:val="both"/>
        <w:rPr>
          <w:sz w:val="22"/>
          <w:szCs w:val="22"/>
        </w:rPr>
      </w:pPr>
      <w:r w:rsidRPr="00957B01">
        <w:rPr>
          <w:sz w:val="22"/>
          <w:szCs w:val="22"/>
        </w:rPr>
        <w:t xml:space="preserve">On average, </w:t>
      </w:r>
      <w:r>
        <w:rPr>
          <w:sz w:val="22"/>
          <w:szCs w:val="22"/>
        </w:rPr>
        <w:t>the randomly selected intercept survey respondents rated the vibrancy of the seven activity centres at 5.5 out of a possible 10, or a very moderate level of vibrancy.</w:t>
      </w:r>
    </w:p>
    <w:p w14:paraId="4A8F6A1B" w14:textId="77777777" w:rsidR="00827EAA" w:rsidRDefault="00827EAA" w:rsidP="00827EAA">
      <w:pPr>
        <w:jc w:val="both"/>
        <w:rPr>
          <w:sz w:val="22"/>
          <w:szCs w:val="22"/>
        </w:rPr>
      </w:pPr>
      <w:r>
        <w:rPr>
          <w:sz w:val="22"/>
          <w:szCs w:val="22"/>
        </w:rPr>
        <w:t>The self-selected online survey respondents were measurably and significantly less positive in terms of their view about the vibrancy of the centres at night, rating the vibrancy at just 4.0 out of 10.</w:t>
      </w:r>
    </w:p>
    <w:p w14:paraId="7AE669E4" w14:textId="77777777" w:rsidR="00827EAA" w:rsidRDefault="00827EAA" w:rsidP="00827EAA">
      <w:pPr>
        <w:jc w:val="both"/>
        <w:rPr>
          <w:sz w:val="22"/>
          <w:szCs w:val="22"/>
        </w:rPr>
      </w:pPr>
      <w:r>
        <w:rPr>
          <w:sz w:val="22"/>
          <w:szCs w:val="22"/>
        </w:rPr>
        <w:t xml:space="preserve">Metropolis Research draws attention to the fact that 23% of the intercept survey and 46% of the online survey respondents felt that the local activity centre was somewhat not vibrant or not vibrant at all.  </w:t>
      </w:r>
    </w:p>
    <w:p w14:paraId="74795918" w14:textId="77777777" w:rsidR="00827EAA" w:rsidRDefault="00827EAA" w:rsidP="00827EAA">
      <w:pPr>
        <w:jc w:val="center"/>
        <w:rPr>
          <w:sz w:val="22"/>
          <w:szCs w:val="22"/>
        </w:rPr>
      </w:pPr>
      <w:r w:rsidRPr="00BC2DC6">
        <w:rPr>
          <w:noProof/>
        </w:rPr>
        <w:drawing>
          <wp:inline distT="0" distB="0" distL="0" distR="0" wp14:anchorId="0ACC3B7C" wp14:editId="5812CD5D">
            <wp:extent cx="4829175" cy="2876550"/>
            <wp:effectExtent l="0" t="0" r="9525" b="0"/>
            <wp:docPr id="574502635" name="Picture 57450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9175" cy="2876550"/>
                    </a:xfrm>
                    <a:prstGeom prst="rect">
                      <a:avLst/>
                    </a:prstGeom>
                    <a:noFill/>
                    <a:ln>
                      <a:noFill/>
                    </a:ln>
                  </pic:spPr>
                </pic:pic>
              </a:graphicData>
            </a:graphic>
          </wp:inline>
        </w:drawing>
      </w:r>
    </w:p>
    <w:p w14:paraId="6E5BE4ED" w14:textId="77777777" w:rsidR="00827EAA" w:rsidRDefault="00827EAA" w:rsidP="00827EAA">
      <w:pPr>
        <w:jc w:val="both"/>
        <w:rPr>
          <w:sz w:val="22"/>
          <w:szCs w:val="22"/>
        </w:rPr>
      </w:pPr>
      <w:r>
        <w:rPr>
          <w:sz w:val="22"/>
          <w:szCs w:val="22"/>
        </w:rPr>
        <w:lastRenderedPageBreak/>
        <w:t>Bay Street (6.1) and Black Rock Village (5.7) were considered the most vibrant activity centres by the randomly selected intercept survey respondents.</w:t>
      </w:r>
    </w:p>
    <w:p w14:paraId="566A5800" w14:textId="77777777" w:rsidR="00827EAA" w:rsidRDefault="00827EAA" w:rsidP="00827EAA">
      <w:pPr>
        <w:jc w:val="center"/>
        <w:rPr>
          <w:sz w:val="22"/>
        </w:rPr>
      </w:pPr>
      <w:r w:rsidRPr="00C5625E">
        <w:rPr>
          <w:noProof/>
        </w:rPr>
        <w:drawing>
          <wp:inline distT="0" distB="0" distL="0" distR="0" wp14:anchorId="645D4BA7" wp14:editId="6A2C262C">
            <wp:extent cx="5274310" cy="3139440"/>
            <wp:effectExtent l="0" t="0" r="2540" b="3810"/>
            <wp:docPr id="1849114850" name="Picture 1849114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4310" cy="3139440"/>
                    </a:xfrm>
                    <a:prstGeom prst="rect">
                      <a:avLst/>
                    </a:prstGeom>
                    <a:noFill/>
                    <a:ln>
                      <a:noFill/>
                    </a:ln>
                  </pic:spPr>
                </pic:pic>
              </a:graphicData>
            </a:graphic>
          </wp:inline>
        </w:drawing>
      </w:r>
    </w:p>
    <w:p w14:paraId="48BED43D" w14:textId="77777777" w:rsidR="00827EAA" w:rsidRDefault="00827EAA" w:rsidP="00827EAA">
      <w:pPr>
        <w:jc w:val="center"/>
        <w:rPr>
          <w:sz w:val="22"/>
        </w:rPr>
      </w:pPr>
    </w:p>
    <w:p w14:paraId="27AC7525" w14:textId="77777777" w:rsidR="006A2EE7" w:rsidRDefault="006A2EE7">
      <w:pPr>
        <w:rPr>
          <w:b/>
          <w:color w:val="F49A00" w:themeColor="accent1"/>
          <w:sz w:val="22"/>
        </w:rPr>
      </w:pPr>
      <w:r>
        <w:rPr>
          <w:sz w:val="22"/>
        </w:rPr>
        <w:br w:type="page"/>
      </w:r>
    </w:p>
    <w:p w14:paraId="5BE0F2A3" w14:textId="0B71CC04" w:rsidR="00827EAA" w:rsidRDefault="00827EAA" w:rsidP="00827EAA">
      <w:pPr>
        <w:pStyle w:val="Heading3"/>
        <w:rPr>
          <w:sz w:val="22"/>
        </w:rPr>
      </w:pPr>
      <w:r>
        <w:rPr>
          <w:sz w:val="22"/>
        </w:rPr>
        <w:lastRenderedPageBreak/>
        <w:t>Recommend activity centres to friends and / or family:</w:t>
      </w:r>
    </w:p>
    <w:p w14:paraId="5FC9462F" w14:textId="52D36648" w:rsidR="00827EAA" w:rsidRDefault="00827EAA" w:rsidP="00827EAA">
      <w:pPr>
        <w:jc w:val="both"/>
        <w:rPr>
          <w:sz w:val="22"/>
          <w:szCs w:val="22"/>
        </w:rPr>
      </w:pPr>
      <w:r w:rsidRPr="000B5A89">
        <w:rPr>
          <w:sz w:val="22"/>
          <w:szCs w:val="22"/>
        </w:rPr>
        <w:t>The over</w:t>
      </w:r>
      <w:r>
        <w:rPr>
          <w:sz w:val="22"/>
          <w:szCs w:val="22"/>
        </w:rPr>
        <w:t>whelming majority of both randomly selected intercept (92%) and self-selected online (81%) survey respondents reported that they would recommend the activity centres to friends and/ or family.</w:t>
      </w:r>
    </w:p>
    <w:p w14:paraId="4796534A" w14:textId="77777777" w:rsidR="00827EAA" w:rsidRDefault="00827EAA" w:rsidP="00827EAA">
      <w:pPr>
        <w:jc w:val="both"/>
        <w:rPr>
          <w:sz w:val="22"/>
          <w:szCs w:val="22"/>
        </w:rPr>
      </w:pPr>
      <w:r>
        <w:rPr>
          <w:sz w:val="22"/>
          <w:szCs w:val="22"/>
        </w:rPr>
        <w:t>It is noted that the older, self-selected online survey respondents were notably less likely to recommend the activity centres as a place to visit than the intercept survey respondents who were surveyed whilst visiting each of the activity centres.</w:t>
      </w:r>
    </w:p>
    <w:p w14:paraId="6D060C08" w14:textId="77777777" w:rsidR="00827EAA" w:rsidRPr="000B5A89" w:rsidRDefault="00827EAA" w:rsidP="00827EAA">
      <w:pPr>
        <w:jc w:val="both"/>
        <w:rPr>
          <w:sz w:val="22"/>
          <w:szCs w:val="22"/>
        </w:rPr>
      </w:pPr>
      <w:r>
        <w:rPr>
          <w:sz w:val="22"/>
          <w:szCs w:val="22"/>
        </w:rPr>
        <w:t>These results strongly suggest that the overwhelming majority of the community are sufficiently satisfied with the seven activity centres to recommend them as a place to visit.</w:t>
      </w:r>
    </w:p>
    <w:p w14:paraId="1C087A0E" w14:textId="77777777" w:rsidR="00827EAA" w:rsidRDefault="00827EAA" w:rsidP="00827EAA">
      <w:pPr>
        <w:jc w:val="center"/>
      </w:pPr>
      <w:r w:rsidRPr="00D24E6B">
        <w:rPr>
          <w:noProof/>
        </w:rPr>
        <w:drawing>
          <wp:inline distT="0" distB="0" distL="0" distR="0" wp14:anchorId="3AC16464" wp14:editId="28351437">
            <wp:extent cx="4829175" cy="2057400"/>
            <wp:effectExtent l="0" t="0" r="9525" b="0"/>
            <wp:docPr id="764003503" name="Picture 76400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175" cy="2057400"/>
                    </a:xfrm>
                    <a:prstGeom prst="rect">
                      <a:avLst/>
                    </a:prstGeom>
                    <a:noFill/>
                    <a:ln>
                      <a:noFill/>
                    </a:ln>
                  </pic:spPr>
                </pic:pic>
              </a:graphicData>
            </a:graphic>
          </wp:inline>
        </w:drawing>
      </w:r>
    </w:p>
    <w:p w14:paraId="0C3F3B56" w14:textId="77777777" w:rsidR="00827EAA" w:rsidRPr="00A633ED" w:rsidRDefault="00827EAA" w:rsidP="00827EAA">
      <w:pPr>
        <w:jc w:val="both"/>
        <w:rPr>
          <w:sz w:val="22"/>
          <w:szCs w:val="22"/>
        </w:rPr>
      </w:pPr>
      <w:r w:rsidRPr="00A633ED">
        <w:rPr>
          <w:sz w:val="22"/>
          <w:szCs w:val="22"/>
        </w:rPr>
        <w:t xml:space="preserve">Particularly </w:t>
      </w:r>
      <w:r>
        <w:rPr>
          <w:sz w:val="22"/>
          <w:szCs w:val="22"/>
        </w:rPr>
        <w:t>among the randomly selected intercept survey respondents, there was no meaningful variation in the likelihood of recommending each of the seven activity centres.</w:t>
      </w:r>
    </w:p>
    <w:p w14:paraId="70D41A52" w14:textId="77777777" w:rsidR="00827EAA" w:rsidRPr="00F316A4" w:rsidRDefault="00827EAA" w:rsidP="00827EAA">
      <w:pPr>
        <w:jc w:val="center"/>
        <w:rPr>
          <w:sz w:val="20"/>
          <w:szCs w:val="20"/>
        </w:rPr>
      </w:pPr>
      <w:r w:rsidRPr="00F316A4">
        <w:rPr>
          <w:noProof/>
          <w:sz w:val="20"/>
          <w:szCs w:val="20"/>
        </w:rPr>
        <w:drawing>
          <wp:inline distT="0" distB="0" distL="0" distR="0" wp14:anchorId="17554B30" wp14:editId="3E3235AC">
            <wp:extent cx="5274310" cy="3318510"/>
            <wp:effectExtent l="0" t="0" r="2540" b="0"/>
            <wp:docPr id="422907491" name="Picture 42290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4310" cy="3318510"/>
                    </a:xfrm>
                    <a:prstGeom prst="rect">
                      <a:avLst/>
                    </a:prstGeom>
                    <a:noFill/>
                    <a:ln>
                      <a:noFill/>
                    </a:ln>
                  </pic:spPr>
                </pic:pic>
              </a:graphicData>
            </a:graphic>
          </wp:inline>
        </w:drawing>
      </w:r>
    </w:p>
    <w:p w14:paraId="3285A939" w14:textId="28CF86D9" w:rsidR="000B0A2E" w:rsidRDefault="000B0A2E" w:rsidP="006F02DA">
      <w:pPr>
        <w:jc w:val="both"/>
        <w:rPr>
          <w:b/>
          <w:color w:val="F49A00" w:themeColor="accent1"/>
          <w:sz w:val="22"/>
        </w:rPr>
      </w:pPr>
    </w:p>
    <w:bookmarkEnd w:id="10"/>
    <w:p w14:paraId="193D993F" w14:textId="77777777" w:rsidR="00710AEA" w:rsidRDefault="00710AEA">
      <w:pPr>
        <w:rPr>
          <w:b/>
          <w:color w:val="F49A00" w:themeColor="accent1"/>
          <w:sz w:val="22"/>
        </w:rPr>
      </w:pPr>
      <w:r>
        <w:rPr>
          <w:sz w:val="22"/>
        </w:rPr>
        <w:br w:type="page"/>
      </w:r>
    </w:p>
    <w:p w14:paraId="281225CA" w14:textId="27F5BC17" w:rsidR="00FA1C91" w:rsidRDefault="003A7B6C" w:rsidP="00FA1C91">
      <w:pPr>
        <w:pStyle w:val="Heading3"/>
        <w:rPr>
          <w:sz w:val="22"/>
        </w:rPr>
      </w:pPr>
      <w:r>
        <w:rPr>
          <w:sz w:val="22"/>
        </w:rPr>
        <w:lastRenderedPageBreak/>
        <w:t>How well existing placemaking features are working in activity centres</w:t>
      </w:r>
      <w:r w:rsidR="00FA1C91">
        <w:rPr>
          <w:sz w:val="22"/>
        </w:rPr>
        <w:t>:</w:t>
      </w:r>
    </w:p>
    <w:p w14:paraId="52C793B3" w14:textId="012AC911" w:rsidR="00D762CD" w:rsidRDefault="00D762CD" w:rsidP="00E91DE3">
      <w:pPr>
        <w:jc w:val="both"/>
        <w:rPr>
          <w:sz w:val="22"/>
          <w:szCs w:val="22"/>
        </w:rPr>
      </w:pPr>
      <w:r>
        <w:rPr>
          <w:sz w:val="22"/>
          <w:szCs w:val="22"/>
        </w:rPr>
        <w:t xml:space="preserve">Respondents were asked to rate how well 15 existing features were working across the seven activity centres. </w:t>
      </w:r>
      <w:r w:rsidR="00ED63D3">
        <w:rPr>
          <w:sz w:val="22"/>
          <w:szCs w:val="22"/>
        </w:rPr>
        <w:t>Not all features were included in each activity centre, with the following table displaying the average score (from zero to 10).</w:t>
      </w:r>
    </w:p>
    <w:p w14:paraId="2648DB5D" w14:textId="61FD703C" w:rsidR="00E91DE3" w:rsidRDefault="0039428D" w:rsidP="00E91DE3">
      <w:pPr>
        <w:jc w:val="both"/>
        <w:rPr>
          <w:sz w:val="22"/>
          <w:szCs w:val="22"/>
        </w:rPr>
      </w:pPr>
      <w:r>
        <w:rPr>
          <w:sz w:val="22"/>
          <w:szCs w:val="22"/>
        </w:rPr>
        <w:t>The randomly selected intercept survey respondents rated how well the 15 existing placemaking features were working in activity centres from a high of 6.9 or “good” for street libraries</w:t>
      </w:r>
      <w:r w:rsidR="00D762CD">
        <w:rPr>
          <w:sz w:val="22"/>
          <w:szCs w:val="22"/>
        </w:rPr>
        <w:t xml:space="preserve"> to a low of 5.5 or “poor” for picnic tables.</w:t>
      </w:r>
    </w:p>
    <w:p w14:paraId="1F18C115" w14:textId="652BB4B7" w:rsidR="00D762CD" w:rsidRDefault="00D762CD" w:rsidP="00E91DE3">
      <w:pPr>
        <w:jc w:val="both"/>
        <w:rPr>
          <w:sz w:val="22"/>
          <w:szCs w:val="22"/>
        </w:rPr>
      </w:pPr>
      <w:r>
        <w:rPr>
          <w:sz w:val="22"/>
          <w:szCs w:val="22"/>
        </w:rPr>
        <w:t xml:space="preserve">The self-selected online survey respondents rated how well these existing features were working at levels significantly lower than the intercept survey respondents, from a </w:t>
      </w:r>
      <w:r w:rsidR="00ED63D3">
        <w:rPr>
          <w:sz w:val="22"/>
          <w:szCs w:val="22"/>
        </w:rPr>
        <w:t xml:space="preserve">high of 5.3 or “very poor” for street libraries to a low of 3.8 or “extremely </w:t>
      </w:r>
      <w:r w:rsidR="00E95F5A">
        <w:rPr>
          <w:sz w:val="22"/>
          <w:szCs w:val="22"/>
        </w:rPr>
        <w:t>poor” for picnic tables.</w:t>
      </w:r>
    </w:p>
    <w:p w14:paraId="3AEA2D10" w14:textId="6F9E202F" w:rsidR="00E95F5A" w:rsidRDefault="00E95F5A" w:rsidP="00E91DE3">
      <w:pPr>
        <w:jc w:val="both"/>
        <w:rPr>
          <w:sz w:val="22"/>
          <w:szCs w:val="22"/>
        </w:rPr>
      </w:pPr>
      <w:r>
        <w:rPr>
          <w:sz w:val="22"/>
          <w:szCs w:val="22"/>
        </w:rPr>
        <w:t xml:space="preserve">Metropolis Research notes that the lower scores reported by the self-selected online survey respondents is typically observed for non-random sample surveys such as the online survey, which </w:t>
      </w:r>
      <w:r w:rsidR="00B933CF">
        <w:rPr>
          <w:sz w:val="22"/>
          <w:szCs w:val="22"/>
        </w:rPr>
        <w:t xml:space="preserve">tend to receive greater </w:t>
      </w:r>
      <w:r>
        <w:rPr>
          <w:sz w:val="22"/>
          <w:szCs w:val="22"/>
        </w:rPr>
        <w:t xml:space="preserve">participation from those </w:t>
      </w:r>
      <w:r w:rsidR="00B933CF">
        <w:rPr>
          <w:sz w:val="22"/>
          <w:szCs w:val="22"/>
        </w:rPr>
        <w:t>with more negative views on the issue than is recorded from a random sample survey such as the intercept surveys.</w:t>
      </w:r>
    </w:p>
    <w:p w14:paraId="765AB173" w14:textId="14F5B75C" w:rsidR="00361FD8" w:rsidRDefault="00436EF1" w:rsidP="001E56FD">
      <w:pPr>
        <w:jc w:val="center"/>
        <w:rPr>
          <w:sz w:val="22"/>
          <w:szCs w:val="22"/>
        </w:rPr>
      </w:pPr>
      <w:r w:rsidRPr="00436EF1">
        <w:rPr>
          <w:noProof/>
        </w:rPr>
        <w:drawing>
          <wp:inline distT="0" distB="0" distL="0" distR="0" wp14:anchorId="6B7E1886" wp14:editId="7EA086A0">
            <wp:extent cx="5731510" cy="6039485"/>
            <wp:effectExtent l="0" t="0" r="2540" b="0"/>
            <wp:docPr id="329132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039485"/>
                    </a:xfrm>
                    <a:prstGeom prst="rect">
                      <a:avLst/>
                    </a:prstGeom>
                    <a:noFill/>
                    <a:ln>
                      <a:noFill/>
                    </a:ln>
                  </pic:spPr>
                </pic:pic>
              </a:graphicData>
            </a:graphic>
          </wp:inline>
        </w:drawing>
      </w:r>
    </w:p>
    <w:p w14:paraId="51A7A010" w14:textId="199C6E0B" w:rsidR="00361FD8" w:rsidRDefault="00ED5CFF" w:rsidP="00361FD8">
      <w:pPr>
        <w:pStyle w:val="Heading3"/>
        <w:rPr>
          <w:sz w:val="22"/>
        </w:rPr>
      </w:pPr>
      <w:r>
        <w:rPr>
          <w:sz w:val="22"/>
        </w:rPr>
        <w:lastRenderedPageBreak/>
        <w:t xml:space="preserve">Like or dislike various </w:t>
      </w:r>
      <w:r w:rsidR="00B42364">
        <w:rPr>
          <w:sz w:val="22"/>
        </w:rPr>
        <w:t xml:space="preserve">centre-specific </w:t>
      </w:r>
      <w:r>
        <w:rPr>
          <w:sz w:val="22"/>
        </w:rPr>
        <w:t>placemaking initiatives and design</w:t>
      </w:r>
      <w:r w:rsidR="00361FD8">
        <w:rPr>
          <w:sz w:val="22"/>
        </w:rPr>
        <w:t>:</w:t>
      </w:r>
    </w:p>
    <w:p w14:paraId="4BCE087D" w14:textId="2C6E9153" w:rsidR="0049004A" w:rsidRDefault="00575FB1" w:rsidP="000F1C12">
      <w:pPr>
        <w:jc w:val="both"/>
        <w:rPr>
          <w:sz w:val="22"/>
          <w:szCs w:val="22"/>
        </w:rPr>
      </w:pPr>
      <w:r w:rsidRPr="00575FB1">
        <w:rPr>
          <w:sz w:val="22"/>
          <w:szCs w:val="22"/>
        </w:rPr>
        <w:t xml:space="preserve">Respondents </w:t>
      </w:r>
      <w:r>
        <w:rPr>
          <w:sz w:val="22"/>
          <w:szCs w:val="22"/>
        </w:rPr>
        <w:t>to both the randomly selected intercept and self-selected online surveys were asked if they liked a range of initiatives specific to each of the seven activity centres.</w:t>
      </w:r>
    </w:p>
    <w:p w14:paraId="057057B5" w14:textId="3DA99EA9" w:rsidR="00B834DA" w:rsidRDefault="000F1C12" w:rsidP="000F1C12">
      <w:pPr>
        <w:jc w:val="both"/>
        <w:rPr>
          <w:sz w:val="22"/>
          <w:szCs w:val="22"/>
        </w:rPr>
      </w:pPr>
      <w:r>
        <w:rPr>
          <w:sz w:val="22"/>
          <w:szCs w:val="22"/>
        </w:rPr>
        <w:t xml:space="preserve">Whilst the </w:t>
      </w:r>
      <w:r w:rsidR="007F0958">
        <w:rPr>
          <w:sz w:val="22"/>
          <w:szCs w:val="22"/>
        </w:rPr>
        <w:t xml:space="preserve">majority of the </w:t>
      </w:r>
      <w:r w:rsidR="00047E16">
        <w:rPr>
          <w:sz w:val="22"/>
          <w:szCs w:val="22"/>
        </w:rPr>
        <w:t xml:space="preserve">intercept survey </w:t>
      </w:r>
      <w:r w:rsidR="007F0958">
        <w:rPr>
          <w:sz w:val="22"/>
          <w:szCs w:val="22"/>
        </w:rPr>
        <w:t>respondents</w:t>
      </w:r>
      <w:r w:rsidR="00047E16">
        <w:rPr>
          <w:sz w:val="22"/>
          <w:szCs w:val="22"/>
        </w:rPr>
        <w:t xml:space="preserve"> reported that they liked most of the centre-specific initiatives</w:t>
      </w:r>
      <w:r>
        <w:rPr>
          <w:sz w:val="22"/>
          <w:szCs w:val="22"/>
        </w:rPr>
        <w:t>, it is noted that:</w:t>
      </w:r>
    </w:p>
    <w:p w14:paraId="02AF8E2F" w14:textId="6AF21981" w:rsidR="000F1C12" w:rsidRDefault="000F1C12" w:rsidP="000F1C12">
      <w:pPr>
        <w:pStyle w:val="ListParagraph"/>
        <w:numPr>
          <w:ilvl w:val="0"/>
          <w:numId w:val="35"/>
        </w:numPr>
        <w:jc w:val="both"/>
        <w:rPr>
          <w:sz w:val="22"/>
          <w:szCs w:val="22"/>
        </w:rPr>
      </w:pPr>
      <w:r w:rsidRPr="000F1C12">
        <w:rPr>
          <w:b/>
          <w:bCs/>
          <w:i/>
          <w:iCs/>
          <w:sz w:val="22"/>
          <w:szCs w:val="22"/>
        </w:rPr>
        <w:t>Hampton Street</w:t>
      </w:r>
      <w:r>
        <w:rPr>
          <w:sz w:val="22"/>
          <w:szCs w:val="22"/>
        </w:rPr>
        <w:t xml:space="preserve"> - a</w:t>
      </w:r>
      <w:r w:rsidR="002C13CF" w:rsidRPr="000F1C12">
        <w:rPr>
          <w:sz w:val="22"/>
          <w:szCs w:val="22"/>
        </w:rPr>
        <w:t xml:space="preserve"> minority of intercept survey respondents </w:t>
      </w:r>
      <w:r w:rsidR="001A3BD2" w:rsidRPr="000F1C12">
        <w:rPr>
          <w:sz w:val="22"/>
          <w:szCs w:val="22"/>
        </w:rPr>
        <w:t>liked</w:t>
      </w:r>
      <w:r w:rsidR="002C13CF" w:rsidRPr="000F1C12">
        <w:rPr>
          <w:sz w:val="22"/>
          <w:szCs w:val="22"/>
        </w:rPr>
        <w:t xml:space="preserve"> the bronze paper stacks (46% liked), the concrete etched designs (46%), bronze beach chair (39%), bronze shopping cart (35%), and street art on service and utility infrastructure (30%)</w:t>
      </w:r>
      <w:r w:rsidRPr="000F1C12">
        <w:rPr>
          <w:sz w:val="22"/>
          <w:szCs w:val="22"/>
        </w:rPr>
        <w:t>.</w:t>
      </w:r>
    </w:p>
    <w:p w14:paraId="1D86F7D6" w14:textId="77777777" w:rsidR="000F1C12" w:rsidRPr="000F1C12" w:rsidRDefault="000F1C12" w:rsidP="000F1C12">
      <w:pPr>
        <w:pStyle w:val="ListParagraph"/>
        <w:jc w:val="both"/>
        <w:rPr>
          <w:sz w:val="22"/>
          <w:szCs w:val="22"/>
        </w:rPr>
      </w:pPr>
    </w:p>
    <w:p w14:paraId="650FD739" w14:textId="300285A5" w:rsidR="00575FB1" w:rsidRDefault="000F1C12" w:rsidP="000F1C12">
      <w:pPr>
        <w:pStyle w:val="ListParagraph"/>
        <w:numPr>
          <w:ilvl w:val="0"/>
          <w:numId w:val="35"/>
        </w:numPr>
        <w:jc w:val="both"/>
        <w:rPr>
          <w:sz w:val="22"/>
          <w:szCs w:val="22"/>
        </w:rPr>
      </w:pPr>
      <w:r w:rsidRPr="000F1C12">
        <w:rPr>
          <w:b/>
          <w:bCs/>
          <w:i/>
          <w:iCs/>
          <w:sz w:val="22"/>
          <w:szCs w:val="22"/>
        </w:rPr>
        <w:t>Martin Street</w:t>
      </w:r>
      <w:r>
        <w:rPr>
          <w:sz w:val="22"/>
          <w:szCs w:val="22"/>
        </w:rPr>
        <w:t xml:space="preserve"> - a</w:t>
      </w:r>
      <w:r w:rsidR="00B834DA" w:rsidRPr="000F1C12">
        <w:rPr>
          <w:sz w:val="22"/>
          <w:szCs w:val="22"/>
        </w:rPr>
        <w:t xml:space="preserve"> minority of intercept </w:t>
      </w:r>
      <w:r w:rsidR="001A3BD2" w:rsidRPr="000F1C12">
        <w:rPr>
          <w:sz w:val="22"/>
          <w:szCs w:val="22"/>
        </w:rPr>
        <w:t xml:space="preserve">survey respondents liked the </w:t>
      </w:r>
      <w:r w:rsidRPr="000F1C12">
        <w:rPr>
          <w:sz w:val="22"/>
          <w:szCs w:val="22"/>
        </w:rPr>
        <w:t>murals on commercial buildings (24%).</w:t>
      </w:r>
    </w:p>
    <w:p w14:paraId="73E2BAAA" w14:textId="77777777" w:rsidR="000F1C12" w:rsidRPr="000F1C12" w:rsidRDefault="000F1C12" w:rsidP="000F1C12">
      <w:pPr>
        <w:pStyle w:val="ListParagraph"/>
        <w:rPr>
          <w:sz w:val="22"/>
          <w:szCs w:val="22"/>
        </w:rPr>
      </w:pPr>
    </w:p>
    <w:p w14:paraId="3F031252" w14:textId="26B308D4" w:rsidR="000F1C12" w:rsidRDefault="000F1C12" w:rsidP="000F1C12">
      <w:pPr>
        <w:pStyle w:val="ListParagraph"/>
        <w:numPr>
          <w:ilvl w:val="0"/>
          <w:numId w:val="35"/>
        </w:numPr>
        <w:jc w:val="both"/>
        <w:rPr>
          <w:sz w:val="22"/>
          <w:szCs w:val="22"/>
        </w:rPr>
      </w:pPr>
      <w:r w:rsidRPr="0025465E">
        <w:rPr>
          <w:b/>
          <w:bCs/>
          <w:i/>
          <w:iCs/>
          <w:sz w:val="22"/>
          <w:szCs w:val="22"/>
        </w:rPr>
        <w:t>Beaumaris Concourse</w:t>
      </w:r>
      <w:r>
        <w:rPr>
          <w:sz w:val="22"/>
          <w:szCs w:val="22"/>
        </w:rPr>
        <w:t xml:space="preserve"> – a minority of intercept survey respondents liked </w:t>
      </w:r>
      <w:r w:rsidR="00E01E25">
        <w:rPr>
          <w:sz w:val="22"/>
          <w:szCs w:val="22"/>
        </w:rPr>
        <w:t xml:space="preserve">image two of </w:t>
      </w:r>
      <w:r>
        <w:rPr>
          <w:sz w:val="22"/>
          <w:szCs w:val="22"/>
        </w:rPr>
        <w:t>the mu</w:t>
      </w:r>
      <w:r w:rsidR="00E01E25">
        <w:rPr>
          <w:sz w:val="22"/>
          <w:szCs w:val="22"/>
        </w:rPr>
        <w:t>rals on commercial buildings (42%).</w:t>
      </w:r>
    </w:p>
    <w:p w14:paraId="787E9CBB" w14:textId="77777777" w:rsidR="00E01E25" w:rsidRPr="00E01E25" w:rsidRDefault="00E01E25" w:rsidP="00E01E25">
      <w:pPr>
        <w:pStyle w:val="ListParagraph"/>
        <w:rPr>
          <w:sz w:val="22"/>
          <w:szCs w:val="22"/>
        </w:rPr>
      </w:pPr>
    </w:p>
    <w:p w14:paraId="1DEF1829" w14:textId="4F9D2854" w:rsidR="00E01E25" w:rsidRDefault="0025465E" w:rsidP="000F1C12">
      <w:pPr>
        <w:pStyle w:val="ListParagraph"/>
        <w:numPr>
          <w:ilvl w:val="0"/>
          <w:numId w:val="35"/>
        </w:numPr>
        <w:jc w:val="both"/>
        <w:rPr>
          <w:sz w:val="22"/>
          <w:szCs w:val="22"/>
        </w:rPr>
      </w:pPr>
      <w:r w:rsidRPr="0025465E">
        <w:rPr>
          <w:b/>
          <w:bCs/>
          <w:i/>
          <w:iCs/>
          <w:sz w:val="22"/>
          <w:szCs w:val="22"/>
        </w:rPr>
        <w:t>Black Rock Village</w:t>
      </w:r>
      <w:r>
        <w:rPr>
          <w:sz w:val="22"/>
          <w:szCs w:val="22"/>
        </w:rPr>
        <w:t xml:space="preserve"> – a minority of intercept survey respondents liked the street art on service and utility infrastructure (38%), cement seating (38%), and colourful planters (33%).</w:t>
      </w:r>
    </w:p>
    <w:p w14:paraId="615BFBC8" w14:textId="4C917F1E" w:rsidR="00666DA5" w:rsidRPr="00666DA5" w:rsidRDefault="00666DA5" w:rsidP="00666DA5">
      <w:pPr>
        <w:jc w:val="both"/>
        <w:rPr>
          <w:sz w:val="22"/>
          <w:szCs w:val="22"/>
        </w:rPr>
      </w:pPr>
      <w:r>
        <w:rPr>
          <w:sz w:val="22"/>
          <w:szCs w:val="22"/>
        </w:rPr>
        <w:t xml:space="preserve">It is noted that a majority of the self-selected online survey respondents liked the majority of these centre-specific initiatives, although it is noted that only </w:t>
      </w:r>
      <w:r w:rsidR="00B4647A">
        <w:rPr>
          <w:sz w:val="22"/>
          <w:szCs w:val="22"/>
        </w:rPr>
        <w:t xml:space="preserve">25% of the online survey respondents liked the Black Rock Village cement seating, </w:t>
      </w:r>
      <w:r w:rsidR="00E10AD4">
        <w:rPr>
          <w:sz w:val="22"/>
          <w:szCs w:val="22"/>
        </w:rPr>
        <w:t xml:space="preserve">41% liked the Martin Street style of seating, and </w:t>
      </w:r>
      <w:r w:rsidR="00B4647A">
        <w:rPr>
          <w:sz w:val="22"/>
          <w:szCs w:val="22"/>
        </w:rPr>
        <w:t>49% liked the Hampton Street bronze seat chair</w:t>
      </w:r>
      <w:r w:rsidR="00E10AD4">
        <w:rPr>
          <w:sz w:val="22"/>
          <w:szCs w:val="22"/>
        </w:rPr>
        <w:t>.</w:t>
      </w:r>
    </w:p>
    <w:p w14:paraId="4B4F1179" w14:textId="77777777" w:rsidR="0025465E" w:rsidRPr="0025465E" w:rsidRDefault="0025465E" w:rsidP="0025465E">
      <w:pPr>
        <w:pStyle w:val="ListParagraph"/>
        <w:rPr>
          <w:sz w:val="22"/>
          <w:szCs w:val="22"/>
        </w:rPr>
      </w:pPr>
    </w:p>
    <w:p w14:paraId="19076234" w14:textId="77777777" w:rsidR="0025465E" w:rsidRPr="0025465E" w:rsidRDefault="0025465E" w:rsidP="0025465E">
      <w:pPr>
        <w:jc w:val="both"/>
        <w:rPr>
          <w:sz w:val="22"/>
          <w:szCs w:val="22"/>
        </w:rPr>
      </w:pPr>
    </w:p>
    <w:p w14:paraId="322D45DA" w14:textId="77777777" w:rsidR="000F1C12" w:rsidRDefault="000F1C12" w:rsidP="000F1C12">
      <w:pPr>
        <w:jc w:val="both"/>
        <w:rPr>
          <w:sz w:val="22"/>
          <w:szCs w:val="22"/>
        </w:rPr>
      </w:pPr>
    </w:p>
    <w:p w14:paraId="23921E10" w14:textId="77777777" w:rsidR="002C13CF" w:rsidRPr="00575FB1" w:rsidRDefault="002C13CF" w:rsidP="0049004A">
      <w:pPr>
        <w:rPr>
          <w:sz w:val="22"/>
          <w:szCs w:val="22"/>
        </w:rPr>
      </w:pPr>
    </w:p>
    <w:p w14:paraId="60CDC912" w14:textId="4104FF1A" w:rsidR="00361FD8" w:rsidRDefault="007F0958" w:rsidP="0049004A">
      <w:pPr>
        <w:jc w:val="center"/>
        <w:rPr>
          <w:sz w:val="22"/>
          <w:szCs w:val="22"/>
        </w:rPr>
      </w:pPr>
      <w:r w:rsidRPr="007F0958">
        <w:rPr>
          <w:noProof/>
        </w:rPr>
        <w:lastRenderedPageBreak/>
        <w:drawing>
          <wp:inline distT="0" distB="0" distL="0" distR="0" wp14:anchorId="27B16F2B" wp14:editId="3617903B">
            <wp:extent cx="4791075" cy="8582025"/>
            <wp:effectExtent l="0" t="0" r="9525" b="9525"/>
            <wp:docPr id="12950957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91075" cy="8582025"/>
                    </a:xfrm>
                    <a:prstGeom prst="rect">
                      <a:avLst/>
                    </a:prstGeom>
                    <a:noFill/>
                    <a:ln>
                      <a:noFill/>
                    </a:ln>
                  </pic:spPr>
                </pic:pic>
              </a:graphicData>
            </a:graphic>
          </wp:inline>
        </w:drawing>
      </w:r>
    </w:p>
    <w:p w14:paraId="5A3C29F3" w14:textId="77777777" w:rsidR="00415AF0" w:rsidRDefault="00415AF0">
      <w:pPr>
        <w:rPr>
          <w:b/>
          <w:color w:val="F49A00" w:themeColor="accent1"/>
          <w:sz w:val="22"/>
        </w:rPr>
      </w:pPr>
      <w:r>
        <w:rPr>
          <w:sz w:val="22"/>
        </w:rPr>
        <w:br w:type="page"/>
      </w:r>
    </w:p>
    <w:p w14:paraId="7E8FC865" w14:textId="091087F3" w:rsidR="00415AF0" w:rsidRDefault="00415AF0" w:rsidP="00415AF0">
      <w:pPr>
        <w:pStyle w:val="Heading3"/>
        <w:rPr>
          <w:sz w:val="22"/>
        </w:rPr>
      </w:pPr>
      <w:r>
        <w:rPr>
          <w:sz w:val="22"/>
        </w:rPr>
        <w:lastRenderedPageBreak/>
        <w:t>Like the seven placemaking initiatives:</w:t>
      </w:r>
    </w:p>
    <w:p w14:paraId="6D07C6D8" w14:textId="77777777" w:rsidR="00415AF0" w:rsidRDefault="00415AF0" w:rsidP="00415AF0">
      <w:pPr>
        <w:jc w:val="both"/>
        <w:rPr>
          <w:sz w:val="22"/>
          <w:szCs w:val="22"/>
        </w:rPr>
      </w:pPr>
      <w:r w:rsidRPr="009C46A6">
        <w:rPr>
          <w:sz w:val="22"/>
          <w:szCs w:val="22"/>
        </w:rPr>
        <w:t>O</w:t>
      </w:r>
      <w:r>
        <w:rPr>
          <w:sz w:val="22"/>
          <w:szCs w:val="22"/>
        </w:rPr>
        <w:t xml:space="preserve">f the 374 intercept survey respondents, a majority (61%) liked the spacelets for outdoor dining, whilst less than half of the intercept survey respondents liked the other six initiatives. </w:t>
      </w:r>
    </w:p>
    <w:p w14:paraId="5E644BEC" w14:textId="77777777" w:rsidR="00415AF0" w:rsidRDefault="00415AF0" w:rsidP="00415AF0">
      <w:pPr>
        <w:jc w:val="both"/>
        <w:rPr>
          <w:sz w:val="22"/>
          <w:szCs w:val="22"/>
        </w:rPr>
      </w:pPr>
      <w:r>
        <w:rPr>
          <w:sz w:val="22"/>
          <w:szCs w:val="22"/>
        </w:rPr>
        <w:t>The 275 online survey respondents were significantly more positive in their views about the seven placemaking initiatives, with approximately half or more liking the street art (80%), the creatively designed recreation features (68%), the large outdoor chess set (60%), and the outdoor performance areas (47%).</w:t>
      </w:r>
    </w:p>
    <w:p w14:paraId="48C17586" w14:textId="77777777" w:rsidR="00415AF0" w:rsidRDefault="00415AF0" w:rsidP="00415AF0">
      <w:pPr>
        <w:jc w:val="center"/>
        <w:rPr>
          <w:b/>
          <w:color w:val="F49A00" w:themeColor="accent1"/>
          <w:sz w:val="22"/>
        </w:rPr>
      </w:pPr>
      <w:r w:rsidRPr="00D174BE">
        <w:rPr>
          <w:noProof/>
        </w:rPr>
        <w:drawing>
          <wp:inline distT="0" distB="0" distL="0" distR="0" wp14:anchorId="1D6323F9" wp14:editId="7F67C5F2">
            <wp:extent cx="4829175" cy="3562350"/>
            <wp:effectExtent l="0" t="0" r="9525" b="0"/>
            <wp:docPr id="80288860" name="Picture 80288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9175" cy="3562350"/>
                    </a:xfrm>
                    <a:prstGeom prst="rect">
                      <a:avLst/>
                    </a:prstGeom>
                    <a:noFill/>
                    <a:ln>
                      <a:noFill/>
                    </a:ln>
                  </pic:spPr>
                </pic:pic>
              </a:graphicData>
            </a:graphic>
          </wp:inline>
        </w:drawing>
      </w:r>
    </w:p>
    <w:p w14:paraId="40C678E3" w14:textId="77777777" w:rsidR="00415AF0" w:rsidRDefault="00415AF0" w:rsidP="00415AF0">
      <w:pPr>
        <w:jc w:val="both"/>
        <w:rPr>
          <w:sz w:val="22"/>
          <w:szCs w:val="22"/>
        </w:rPr>
      </w:pPr>
      <w:r>
        <w:rPr>
          <w:sz w:val="22"/>
          <w:szCs w:val="22"/>
        </w:rPr>
        <w:t>These results do suggest that there was only a moderate degree of enthusiasm for the seven placemaking initiatives amongst those who visit the seven activity centres.</w:t>
      </w:r>
    </w:p>
    <w:p w14:paraId="191862D3" w14:textId="77777777" w:rsidR="00415AF0" w:rsidRDefault="00415AF0" w:rsidP="00415AF0">
      <w:pPr>
        <w:jc w:val="center"/>
        <w:rPr>
          <w:b/>
          <w:color w:val="F49A00" w:themeColor="accent1"/>
          <w:sz w:val="22"/>
        </w:rPr>
      </w:pPr>
    </w:p>
    <w:p w14:paraId="579401A2" w14:textId="77777777" w:rsidR="00415AF0" w:rsidRDefault="00415AF0" w:rsidP="00415AF0">
      <w:pPr>
        <w:pStyle w:val="Heading3"/>
        <w:rPr>
          <w:sz w:val="22"/>
        </w:rPr>
      </w:pPr>
      <w:r>
        <w:rPr>
          <w:sz w:val="22"/>
        </w:rPr>
        <w:t>Reasons for liking the placemaking initiatives:</w:t>
      </w:r>
    </w:p>
    <w:p w14:paraId="640F7A8B" w14:textId="77777777" w:rsidR="00415AF0" w:rsidRDefault="00415AF0" w:rsidP="00415AF0">
      <w:pPr>
        <w:jc w:val="both"/>
        <w:rPr>
          <w:sz w:val="22"/>
          <w:szCs w:val="22"/>
        </w:rPr>
      </w:pPr>
      <w:r>
        <w:rPr>
          <w:sz w:val="22"/>
          <w:szCs w:val="22"/>
        </w:rPr>
        <w:t>The most common reason why respondents to both the random intercept survey and the self-selected online survey liked the placemaking initiatives were the view that they encourage people to get together, with 61% of intercept and 73% of online survey respondents nominating this reason.</w:t>
      </w:r>
    </w:p>
    <w:p w14:paraId="40DD0668" w14:textId="77777777" w:rsidR="00415AF0" w:rsidRDefault="00415AF0" w:rsidP="00415AF0">
      <w:pPr>
        <w:jc w:val="center"/>
        <w:rPr>
          <w:sz w:val="22"/>
          <w:szCs w:val="22"/>
        </w:rPr>
      </w:pPr>
      <w:r w:rsidRPr="00BD4960">
        <w:rPr>
          <w:noProof/>
        </w:rPr>
        <w:lastRenderedPageBreak/>
        <w:drawing>
          <wp:inline distT="0" distB="0" distL="0" distR="0" wp14:anchorId="4B21C17C" wp14:editId="69089387">
            <wp:extent cx="4829175" cy="4419600"/>
            <wp:effectExtent l="0" t="0" r="9525" b="0"/>
            <wp:docPr id="330535611" name="Picture 330535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9175" cy="4419600"/>
                    </a:xfrm>
                    <a:prstGeom prst="rect">
                      <a:avLst/>
                    </a:prstGeom>
                    <a:noFill/>
                    <a:ln>
                      <a:noFill/>
                    </a:ln>
                  </pic:spPr>
                </pic:pic>
              </a:graphicData>
            </a:graphic>
          </wp:inline>
        </w:drawing>
      </w:r>
    </w:p>
    <w:p w14:paraId="7A4B8A6F" w14:textId="77777777" w:rsidR="00415AF0" w:rsidRDefault="00415AF0" w:rsidP="00415AF0">
      <w:pPr>
        <w:jc w:val="both"/>
        <w:rPr>
          <w:sz w:val="22"/>
          <w:szCs w:val="22"/>
        </w:rPr>
      </w:pPr>
      <w:r>
        <w:rPr>
          <w:sz w:val="22"/>
          <w:szCs w:val="22"/>
        </w:rPr>
        <w:t>These results do suggest that those who currently use the seven activity centres were focused primarily on how the activity centres can contribute to the social life of the local community within the activity centres.</w:t>
      </w:r>
    </w:p>
    <w:p w14:paraId="3F0ACF8B" w14:textId="77777777" w:rsidR="00415AF0" w:rsidRDefault="00415AF0" w:rsidP="00415AF0">
      <w:pPr>
        <w:jc w:val="both"/>
        <w:rPr>
          <w:sz w:val="22"/>
          <w:szCs w:val="22"/>
        </w:rPr>
      </w:pPr>
    </w:p>
    <w:p w14:paraId="1CC8CDDB" w14:textId="77777777" w:rsidR="00415AF0" w:rsidRDefault="00415AF0" w:rsidP="00415AF0">
      <w:pPr>
        <w:pStyle w:val="Heading3"/>
        <w:rPr>
          <w:sz w:val="22"/>
        </w:rPr>
      </w:pPr>
      <w:r>
        <w:rPr>
          <w:sz w:val="22"/>
        </w:rPr>
        <w:t>Reasons for not liking the placemaking initiatives:</w:t>
      </w:r>
    </w:p>
    <w:p w14:paraId="5E8E138A" w14:textId="77777777" w:rsidR="00415AF0" w:rsidRDefault="00415AF0" w:rsidP="00415AF0">
      <w:pPr>
        <w:jc w:val="both"/>
        <w:rPr>
          <w:sz w:val="22"/>
          <w:szCs w:val="22"/>
        </w:rPr>
      </w:pPr>
      <w:r>
        <w:rPr>
          <w:sz w:val="22"/>
          <w:szCs w:val="22"/>
        </w:rPr>
        <w:t>Of the 49 respondents (29 intercept and 20 online) who did not like any of the seven placemaking initiatives, a total of 32 response were provided as to why they did not like them.</w:t>
      </w:r>
    </w:p>
    <w:p w14:paraId="0B906BD4" w14:textId="77777777" w:rsidR="00415AF0" w:rsidRDefault="00415AF0" w:rsidP="00415AF0">
      <w:pPr>
        <w:jc w:val="both"/>
        <w:rPr>
          <w:sz w:val="22"/>
          <w:szCs w:val="22"/>
        </w:rPr>
      </w:pPr>
      <w:r>
        <w:rPr>
          <w:sz w:val="22"/>
          <w:szCs w:val="22"/>
        </w:rPr>
        <w:t>The main reasons why the randomly selected intercept survey respondents did not like the seven placemaking initiatives were that no change was needed (3 responses), don’t look interesting (2 responses), and that they like it as it is (2 responses).</w:t>
      </w:r>
    </w:p>
    <w:p w14:paraId="3E855D90" w14:textId="77777777" w:rsidR="00415AF0" w:rsidRDefault="00415AF0" w:rsidP="00415AF0">
      <w:pPr>
        <w:jc w:val="both"/>
        <w:rPr>
          <w:sz w:val="22"/>
          <w:szCs w:val="22"/>
        </w:rPr>
      </w:pPr>
      <w:r>
        <w:rPr>
          <w:sz w:val="22"/>
          <w:szCs w:val="22"/>
        </w:rPr>
        <w:t>The main reasons why the randomly selected intercept survey respondents did not like the seven placemaking initiatives were their perception that the initiatives were dull or boring (6 responses), a waste of money (3 responses), and that they need parking instead (2 responses).</w:t>
      </w:r>
    </w:p>
    <w:p w14:paraId="5F8A7CB1" w14:textId="1B395772" w:rsidR="00361FD8" w:rsidRDefault="00361FD8">
      <w:pPr>
        <w:rPr>
          <w:b/>
          <w:color w:val="F49A00" w:themeColor="accent1"/>
          <w:sz w:val="22"/>
        </w:rPr>
      </w:pPr>
    </w:p>
    <w:p w14:paraId="0FA26869" w14:textId="15B6466D" w:rsidR="004D2C9F" w:rsidRDefault="004D2C9F" w:rsidP="004D2C9F">
      <w:pPr>
        <w:pStyle w:val="Heading3"/>
        <w:rPr>
          <w:sz w:val="22"/>
        </w:rPr>
      </w:pPr>
      <w:r>
        <w:rPr>
          <w:sz w:val="22"/>
        </w:rPr>
        <w:t>Reasons why local shopping precincts are important:</w:t>
      </w:r>
    </w:p>
    <w:p w14:paraId="2C9DA1BD" w14:textId="77777777" w:rsidR="00FE5F50" w:rsidRDefault="00CE5076" w:rsidP="00614C6A">
      <w:pPr>
        <w:jc w:val="both"/>
        <w:rPr>
          <w:sz w:val="22"/>
          <w:szCs w:val="22"/>
        </w:rPr>
      </w:pPr>
      <w:r w:rsidRPr="00CE5076">
        <w:rPr>
          <w:sz w:val="22"/>
          <w:szCs w:val="22"/>
        </w:rPr>
        <w:t xml:space="preserve">The </w:t>
      </w:r>
      <w:r>
        <w:rPr>
          <w:sz w:val="22"/>
          <w:szCs w:val="22"/>
        </w:rPr>
        <w:t xml:space="preserve">randomly selected intercept survey respondents </w:t>
      </w:r>
      <w:r w:rsidR="00614C6A">
        <w:rPr>
          <w:sz w:val="22"/>
          <w:szCs w:val="22"/>
        </w:rPr>
        <w:t xml:space="preserve">nominated the variety / number of shops and restaurants (21%), the proximity to home (19%), the community feel / atmosphere (17%), and accessibility (15%) the most important reasons why local shopping precincts are important.  </w:t>
      </w:r>
    </w:p>
    <w:p w14:paraId="065D45C4" w14:textId="365298F1" w:rsidR="00614C6A" w:rsidRPr="00CE5076" w:rsidRDefault="00614C6A" w:rsidP="00614C6A">
      <w:pPr>
        <w:jc w:val="both"/>
        <w:rPr>
          <w:sz w:val="22"/>
          <w:szCs w:val="22"/>
        </w:rPr>
      </w:pPr>
      <w:r>
        <w:rPr>
          <w:sz w:val="22"/>
          <w:szCs w:val="22"/>
        </w:rPr>
        <w:lastRenderedPageBreak/>
        <w:t>This clearly reflects the intercept survey respondents use of and engagement with the activity centres as primarily (but not exclusively) as local shopping precincts.</w:t>
      </w:r>
      <w:r w:rsidR="00F316A4">
        <w:rPr>
          <w:sz w:val="22"/>
          <w:szCs w:val="22"/>
        </w:rPr>
        <w:t xml:space="preserve">  </w:t>
      </w:r>
      <w:r>
        <w:rPr>
          <w:sz w:val="22"/>
          <w:szCs w:val="22"/>
        </w:rPr>
        <w:t>The self-selected online survey respondents were significantly more focused on the community feel / atmosphere, with 42% of these respondents nominating these reasons.</w:t>
      </w:r>
    </w:p>
    <w:p w14:paraId="5943CCC4" w14:textId="13914093" w:rsidR="004D2C9F" w:rsidRPr="004D2C9F" w:rsidRDefault="009C6058" w:rsidP="009C6058">
      <w:pPr>
        <w:jc w:val="center"/>
      </w:pPr>
      <w:r w:rsidRPr="002A0C6F">
        <w:rPr>
          <w:noProof/>
        </w:rPr>
        <w:drawing>
          <wp:inline distT="0" distB="0" distL="0" distR="0" wp14:anchorId="46670F2F" wp14:editId="7ABE585C">
            <wp:extent cx="4791075" cy="3781425"/>
            <wp:effectExtent l="0" t="0" r="9525" b="0"/>
            <wp:docPr id="1734303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91075" cy="3781425"/>
                    </a:xfrm>
                    <a:prstGeom prst="rect">
                      <a:avLst/>
                    </a:prstGeom>
                    <a:noFill/>
                    <a:ln>
                      <a:noFill/>
                    </a:ln>
                  </pic:spPr>
                </pic:pic>
              </a:graphicData>
            </a:graphic>
          </wp:inline>
        </w:drawing>
      </w:r>
    </w:p>
    <w:p w14:paraId="1B878D96" w14:textId="77777777" w:rsidR="003B5958" w:rsidRDefault="00F316A4" w:rsidP="0080739F">
      <w:pPr>
        <w:jc w:val="both"/>
        <w:rPr>
          <w:sz w:val="22"/>
          <w:szCs w:val="22"/>
        </w:rPr>
      </w:pPr>
      <w:r w:rsidRPr="00F316A4">
        <w:rPr>
          <w:sz w:val="22"/>
          <w:szCs w:val="22"/>
        </w:rPr>
        <w:t xml:space="preserve">These results </w:t>
      </w:r>
      <w:r>
        <w:rPr>
          <w:sz w:val="22"/>
          <w:szCs w:val="22"/>
        </w:rPr>
        <w:t>reinforce the earlier results that show that</w:t>
      </w:r>
      <w:r w:rsidR="003B5958">
        <w:rPr>
          <w:sz w:val="22"/>
          <w:szCs w:val="22"/>
        </w:rPr>
        <w:t>, particularly the intercept survey respondents engage with the activity centres primarily as shopping locations, which tends to focus their attention on range of shops, accessibility, and proximity.</w:t>
      </w:r>
    </w:p>
    <w:p w14:paraId="0FE5C38F" w14:textId="48CB652F" w:rsidR="004D2C9F" w:rsidRPr="00F316A4" w:rsidRDefault="003B5958" w:rsidP="0080739F">
      <w:pPr>
        <w:jc w:val="both"/>
        <w:rPr>
          <w:sz w:val="22"/>
          <w:szCs w:val="22"/>
        </w:rPr>
      </w:pPr>
      <w:r>
        <w:rPr>
          <w:sz w:val="22"/>
          <w:szCs w:val="22"/>
        </w:rPr>
        <w:t xml:space="preserve">The online survey respondents </w:t>
      </w:r>
      <w:r w:rsidR="00210118">
        <w:rPr>
          <w:sz w:val="22"/>
          <w:szCs w:val="22"/>
        </w:rPr>
        <w:t xml:space="preserve">focus on community feel and atmosphere likely reflects both their older </w:t>
      </w:r>
      <w:r w:rsidR="007F2395">
        <w:rPr>
          <w:sz w:val="22"/>
          <w:szCs w:val="22"/>
        </w:rPr>
        <w:t>demographic</w:t>
      </w:r>
      <w:r w:rsidR="00210118">
        <w:rPr>
          <w:sz w:val="22"/>
          <w:szCs w:val="22"/>
        </w:rPr>
        <w:t xml:space="preserve">, as well as their less positive outlook on the </w:t>
      </w:r>
      <w:r w:rsidR="0080739F">
        <w:rPr>
          <w:sz w:val="22"/>
          <w:szCs w:val="22"/>
        </w:rPr>
        <w:t>activity centres.</w:t>
      </w:r>
      <w:r w:rsidR="00583F10">
        <w:rPr>
          <w:sz w:val="22"/>
          <w:szCs w:val="22"/>
        </w:rPr>
        <w:t xml:space="preserve">  </w:t>
      </w:r>
    </w:p>
    <w:p w14:paraId="65D41F01" w14:textId="50A56385" w:rsidR="00297571" w:rsidRDefault="00297571">
      <w:pPr>
        <w:rPr>
          <w:b/>
          <w:color w:val="F49A00" w:themeColor="accent1"/>
          <w:sz w:val="22"/>
        </w:rPr>
      </w:pPr>
    </w:p>
    <w:p w14:paraId="5F4EC4CE" w14:textId="603B8116" w:rsidR="004D2C9F" w:rsidRDefault="00481D89" w:rsidP="004D2C9F">
      <w:pPr>
        <w:pStyle w:val="Heading3"/>
        <w:rPr>
          <w:sz w:val="22"/>
        </w:rPr>
      </w:pPr>
      <w:r>
        <w:rPr>
          <w:sz w:val="22"/>
        </w:rPr>
        <w:t>Local shopping precincts enhance and contribute to centre’s character:</w:t>
      </w:r>
    </w:p>
    <w:p w14:paraId="49838369" w14:textId="13514B17" w:rsidR="00297571" w:rsidRDefault="00721246" w:rsidP="00583F10">
      <w:pPr>
        <w:jc w:val="both"/>
        <w:rPr>
          <w:sz w:val="22"/>
          <w:szCs w:val="22"/>
        </w:rPr>
      </w:pPr>
      <w:r w:rsidRPr="00721246">
        <w:rPr>
          <w:sz w:val="22"/>
          <w:szCs w:val="22"/>
        </w:rPr>
        <w:t>The most common</w:t>
      </w:r>
      <w:r>
        <w:rPr>
          <w:sz w:val="22"/>
          <w:szCs w:val="22"/>
        </w:rPr>
        <w:t xml:space="preserve"> </w:t>
      </w:r>
      <w:r w:rsidR="00583F10">
        <w:rPr>
          <w:sz w:val="22"/>
          <w:szCs w:val="22"/>
        </w:rPr>
        <w:t>ways by which both randomly selected intercept survey (20%) and self-selected online survey (23%) respondents felt that local shopping precincts enhance and contribute to a centre’s local character were through the variety of shops and other businesses within the centre.</w:t>
      </w:r>
    </w:p>
    <w:p w14:paraId="7B561E8E" w14:textId="17810E21" w:rsidR="00583F10" w:rsidRPr="00721246" w:rsidRDefault="003229B5" w:rsidP="00583F10">
      <w:pPr>
        <w:jc w:val="both"/>
        <w:rPr>
          <w:sz w:val="22"/>
          <w:szCs w:val="22"/>
        </w:rPr>
      </w:pPr>
      <w:r>
        <w:rPr>
          <w:sz w:val="22"/>
          <w:szCs w:val="22"/>
        </w:rPr>
        <w:t>The diversity of people (11%) and trees, greenery</w:t>
      </w:r>
      <w:r w:rsidR="00B7159B">
        <w:rPr>
          <w:sz w:val="22"/>
          <w:szCs w:val="22"/>
        </w:rPr>
        <w:t>,</w:t>
      </w:r>
      <w:r>
        <w:rPr>
          <w:sz w:val="22"/>
          <w:szCs w:val="22"/>
        </w:rPr>
        <w:t xml:space="preserve"> and planting (10%) were also commonly nominated by intercept survey respondents, whilst online respondents also nominated </w:t>
      </w:r>
      <w:r w:rsidR="00F5498C">
        <w:rPr>
          <w:sz w:val="22"/>
          <w:szCs w:val="22"/>
        </w:rPr>
        <w:t>vibe/ community atmosphere (17%) and updates to the precinct/ maintenance/ art/ décor (13%) as enhancements that could contribute to the centre’s character.</w:t>
      </w:r>
    </w:p>
    <w:p w14:paraId="75E7F92A" w14:textId="474A0245" w:rsidR="004D2C9F" w:rsidRPr="004D2C9F" w:rsidRDefault="00872002" w:rsidP="00872002">
      <w:pPr>
        <w:jc w:val="center"/>
      </w:pPr>
      <w:r w:rsidRPr="008D5438">
        <w:rPr>
          <w:noProof/>
        </w:rPr>
        <w:lastRenderedPageBreak/>
        <w:drawing>
          <wp:inline distT="0" distB="0" distL="0" distR="0" wp14:anchorId="7D45DB51" wp14:editId="7BFBB2D9">
            <wp:extent cx="5274310" cy="4611370"/>
            <wp:effectExtent l="0" t="0" r="2540" b="0"/>
            <wp:docPr id="906306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4611370"/>
                    </a:xfrm>
                    <a:prstGeom prst="rect">
                      <a:avLst/>
                    </a:prstGeom>
                    <a:noFill/>
                    <a:ln>
                      <a:noFill/>
                    </a:ln>
                  </pic:spPr>
                </pic:pic>
              </a:graphicData>
            </a:graphic>
          </wp:inline>
        </w:drawing>
      </w:r>
    </w:p>
    <w:p w14:paraId="50D0D228" w14:textId="062E3D3D" w:rsidR="006D6BB5" w:rsidRDefault="006D6BB5">
      <w:pPr>
        <w:rPr>
          <w:b/>
          <w:color w:val="F49A00" w:themeColor="accent1"/>
          <w:sz w:val="22"/>
        </w:rPr>
      </w:pPr>
    </w:p>
    <w:p w14:paraId="63876B15" w14:textId="1D68C256" w:rsidR="006D6BB5" w:rsidRDefault="006D6BB5" w:rsidP="006D6BB5">
      <w:pPr>
        <w:pStyle w:val="Heading3"/>
        <w:rPr>
          <w:sz w:val="22"/>
        </w:rPr>
      </w:pPr>
      <w:r>
        <w:rPr>
          <w:sz w:val="22"/>
        </w:rPr>
        <w:t>Summary of preferred improvements to the activity centres:</w:t>
      </w:r>
    </w:p>
    <w:p w14:paraId="6313CEC2" w14:textId="16AAFDC8" w:rsidR="00D3096A" w:rsidRDefault="009E3B3C" w:rsidP="00DD78E0">
      <w:pPr>
        <w:jc w:val="both"/>
        <w:rPr>
          <w:sz w:val="22"/>
          <w:szCs w:val="22"/>
        </w:rPr>
      </w:pPr>
      <w:r w:rsidRPr="009E3B3C">
        <w:rPr>
          <w:sz w:val="22"/>
          <w:szCs w:val="22"/>
        </w:rPr>
        <w:t xml:space="preserve">Across the </w:t>
      </w:r>
      <w:r>
        <w:rPr>
          <w:sz w:val="22"/>
          <w:szCs w:val="22"/>
        </w:rPr>
        <w:t xml:space="preserve">seven activity centres, the most common centre-specific </w:t>
      </w:r>
      <w:r w:rsidR="00D3096A">
        <w:rPr>
          <w:sz w:val="22"/>
          <w:szCs w:val="22"/>
        </w:rPr>
        <w:t>improvements,</w:t>
      </w:r>
      <w:r>
        <w:rPr>
          <w:sz w:val="22"/>
          <w:szCs w:val="22"/>
        </w:rPr>
        <w:t xml:space="preserve"> </w:t>
      </w:r>
      <w:r w:rsidR="00D3096A">
        <w:rPr>
          <w:sz w:val="22"/>
          <w:szCs w:val="22"/>
        </w:rPr>
        <w:t>or characteristics</w:t>
      </w:r>
      <w:r>
        <w:rPr>
          <w:sz w:val="22"/>
          <w:szCs w:val="22"/>
        </w:rPr>
        <w:t xml:space="preserve"> that respondents want to preserve </w:t>
      </w:r>
      <w:r w:rsidR="00FB339A">
        <w:rPr>
          <w:sz w:val="22"/>
          <w:szCs w:val="22"/>
        </w:rPr>
        <w:t>were focused on the quality of greenery</w:t>
      </w:r>
      <w:r w:rsidR="00CB5108">
        <w:rPr>
          <w:sz w:val="22"/>
          <w:szCs w:val="22"/>
        </w:rPr>
        <w:t xml:space="preserve"> including trees and other plantings, </w:t>
      </w:r>
      <w:r w:rsidR="00F70CEF">
        <w:rPr>
          <w:sz w:val="22"/>
          <w:szCs w:val="22"/>
        </w:rPr>
        <w:t>art and beautification including art, décor, sc</w:t>
      </w:r>
      <w:r w:rsidR="007100AD">
        <w:rPr>
          <w:sz w:val="22"/>
          <w:szCs w:val="22"/>
        </w:rPr>
        <w:t>ulpture, and other beautification works, the range of quality of shops and dining venues of various types.</w:t>
      </w:r>
    </w:p>
    <w:p w14:paraId="088CAEAC" w14:textId="7F86E51C" w:rsidR="004D2C9F" w:rsidRPr="009E3B3C" w:rsidRDefault="00D3096A" w:rsidP="00DD78E0">
      <w:pPr>
        <w:jc w:val="both"/>
        <w:rPr>
          <w:sz w:val="22"/>
          <w:szCs w:val="22"/>
        </w:rPr>
      </w:pPr>
      <w:r>
        <w:rPr>
          <w:sz w:val="22"/>
          <w:szCs w:val="22"/>
        </w:rPr>
        <w:t>There were also references made to planning and heritage preservation in some centres, as well as amenities including seating, lighting, bins, and other infrastructure.</w:t>
      </w:r>
      <w:r w:rsidR="00FB339A">
        <w:rPr>
          <w:sz w:val="22"/>
          <w:szCs w:val="22"/>
        </w:rPr>
        <w:t xml:space="preserve">  </w:t>
      </w:r>
    </w:p>
    <w:p w14:paraId="6A52ADD4" w14:textId="140DD708" w:rsidR="00DD78E0" w:rsidRDefault="009E3B3C" w:rsidP="00AE39B0">
      <w:pPr>
        <w:jc w:val="center"/>
      </w:pPr>
      <w:r w:rsidRPr="009E3B3C">
        <w:rPr>
          <w:noProof/>
        </w:rPr>
        <w:lastRenderedPageBreak/>
        <w:drawing>
          <wp:inline distT="0" distB="0" distL="0" distR="0" wp14:anchorId="1DFF8461" wp14:editId="7EB58074">
            <wp:extent cx="5438775" cy="6162675"/>
            <wp:effectExtent l="0" t="0" r="9525" b="9525"/>
            <wp:docPr id="18790191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8775" cy="6162675"/>
                    </a:xfrm>
                    <a:prstGeom prst="rect">
                      <a:avLst/>
                    </a:prstGeom>
                    <a:noFill/>
                    <a:ln>
                      <a:noFill/>
                    </a:ln>
                  </pic:spPr>
                </pic:pic>
              </a:graphicData>
            </a:graphic>
          </wp:inline>
        </w:drawing>
      </w:r>
    </w:p>
    <w:p w14:paraId="121F0317" w14:textId="77777777" w:rsidR="008F4121" w:rsidRPr="004D2C9F" w:rsidRDefault="008F4121" w:rsidP="00AE39B0">
      <w:pPr>
        <w:jc w:val="center"/>
      </w:pPr>
    </w:p>
    <w:p w14:paraId="0D39AB4E" w14:textId="1B173BFA" w:rsidR="008F4121" w:rsidRDefault="008F4121" w:rsidP="008F4121">
      <w:pPr>
        <w:pStyle w:val="Heading3"/>
        <w:rPr>
          <w:sz w:val="22"/>
        </w:rPr>
      </w:pPr>
      <w:r>
        <w:rPr>
          <w:sz w:val="22"/>
        </w:rPr>
        <w:t xml:space="preserve">Summary of feedback from </w:t>
      </w:r>
      <w:r w:rsidR="00750DEB">
        <w:rPr>
          <w:sz w:val="22"/>
        </w:rPr>
        <w:t xml:space="preserve">community group </w:t>
      </w:r>
      <w:r>
        <w:rPr>
          <w:sz w:val="22"/>
        </w:rPr>
        <w:t>meeting</w:t>
      </w:r>
      <w:r w:rsidR="008A6464">
        <w:rPr>
          <w:sz w:val="22"/>
        </w:rPr>
        <w:t>s and two emails</w:t>
      </w:r>
      <w:r>
        <w:rPr>
          <w:sz w:val="22"/>
        </w:rPr>
        <w:t>:</w:t>
      </w:r>
    </w:p>
    <w:p w14:paraId="04CD27A1" w14:textId="36EFE1E6" w:rsidR="008F4121" w:rsidRDefault="00744660" w:rsidP="00744660">
      <w:pPr>
        <w:jc w:val="both"/>
        <w:rPr>
          <w:sz w:val="22"/>
          <w:szCs w:val="22"/>
        </w:rPr>
      </w:pPr>
      <w:r>
        <w:rPr>
          <w:sz w:val="22"/>
          <w:szCs w:val="22"/>
        </w:rPr>
        <w:t xml:space="preserve">Council officers conducted face-to-face discussions at three community group meetings (BHARG, FReeZA, and DAIAC) and also received two emails from the </w:t>
      </w:r>
      <w:r w:rsidR="007F2395">
        <w:rPr>
          <w:sz w:val="22"/>
          <w:szCs w:val="22"/>
        </w:rPr>
        <w:t>community</w:t>
      </w:r>
      <w:r>
        <w:rPr>
          <w:sz w:val="22"/>
          <w:szCs w:val="22"/>
        </w:rPr>
        <w:t>.</w:t>
      </w:r>
    </w:p>
    <w:p w14:paraId="2D3E68E7" w14:textId="53BF95B6" w:rsidR="00744660" w:rsidRDefault="00661AAF" w:rsidP="00744660">
      <w:pPr>
        <w:jc w:val="both"/>
        <w:rPr>
          <w:sz w:val="22"/>
          <w:szCs w:val="22"/>
        </w:rPr>
      </w:pPr>
      <w:r>
        <w:rPr>
          <w:sz w:val="22"/>
          <w:szCs w:val="22"/>
        </w:rPr>
        <w:t>In summary, there were eight positive areas noted and 36 areas for improvement, with the main feedback as follows:</w:t>
      </w:r>
    </w:p>
    <w:p w14:paraId="4DF0A477" w14:textId="75008BB7" w:rsidR="00661AAF" w:rsidRDefault="00661AAF" w:rsidP="004A4AA5">
      <w:pPr>
        <w:pStyle w:val="ListParagraph"/>
        <w:numPr>
          <w:ilvl w:val="0"/>
          <w:numId w:val="37"/>
        </w:numPr>
        <w:jc w:val="both"/>
        <w:rPr>
          <w:sz w:val="22"/>
          <w:szCs w:val="22"/>
        </w:rPr>
      </w:pPr>
      <w:r w:rsidRPr="004A4AA5">
        <w:rPr>
          <w:b/>
          <w:bCs/>
          <w:i/>
          <w:iCs/>
          <w:sz w:val="22"/>
          <w:szCs w:val="22"/>
        </w:rPr>
        <w:t>Positive aspects of the activity centres</w:t>
      </w:r>
      <w:r w:rsidRPr="004A4AA5">
        <w:rPr>
          <w:sz w:val="22"/>
          <w:szCs w:val="22"/>
        </w:rPr>
        <w:t xml:space="preserve"> – included beautification and art</w:t>
      </w:r>
      <w:r w:rsidR="002C2F8C" w:rsidRPr="004A4AA5">
        <w:rPr>
          <w:sz w:val="22"/>
          <w:szCs w:val="22"/>
        </w:rPr>
        <w:t xml:space="preserve"> (5 responses), and one each for shops and restaurants, greenery, and public toilets.</w:t>
      </w:r>
    </w:p>
    <w:p w14:paraId="006AC710" w14:textId="77777777" w:rsidR="004A4AA5" w:rsidRPr="004A4AA5" w:rsidRDefault="004A4AA5" w:rsidP="004A4AA5">
      <w:pPr>
        <w:pStyle w:val="ListParagraph"/>
        <w:jc w:val="both"/>
        <w:rPr>
          <w:sz w:val="22"/>
          <w:szCs w:val="22"/>
        </w:rPr>
      </w:pPr>
    </w:p>
    <w:p w14:paraId="72E19F32" w14:textId="7D94EE33" w:rsidR="002C2F8C" w:rsidRPr="004A4AA5" w:rsidRDefault="002C2F8C" w:rsidP="004A4AA5">
      <w:pPr>
        <w:pStyle w:val="ListParagraph"/>
        <w:numPr>
          <w:ilvl w:val="0"/>
          <w:numId w:val="37"/>
        </w:numPr>
        <w:jc w:val="both"/>
        <w:rPr>
          <w:sz w:val="22"/>
          <w:szCs w:val="22"/>
        </w:rPr>
      </w:pPr>
      <w:r w:rsidRPr="004A4AA5">
        <w:rPr>
          <w:b/>
          <w:bCs/>
          <w:i/>
          <w:iCs/>
          <w:sz w:val="22"/>
          <w:szCs w:val="22"/>
        </w:rPr>
        <w:t>Areas for improvement in the activity centres</w:t>
      </w:r>
      <w:r w:rsidRPr="004A4AA5">
        <w:rPr>
          <w:sz w:val="22"/>
          <w:szCs w:val="22"/>
        </w:rPr>
        <w:t xml:space="preserve"> – included seating (8 responses, </w:t>
      </w:r>
      <w:r w:rsidR="000B5549" w:rsidRPr="004A4AA5">
        <w:rPr>
          <w:sz w:val="22"/>
          <w:szCs w:val="22"/>
        </w:rPr>
        <w:t xml:space="preserve">cleanliness including litter and graffiti (4 responses), three responses each for beautification and art, shops and </w:t>
      </w:r>
      <w:r w:rsidR="001E5875" w:rsidRPr="004A4AA5">
        <w:rPr>
          <w:sz w:val="22"/>
          <w:szCs w:val="22"/>
        </w:rPr>
        <w:t>restaurants, amenities</w:t>
      </w:r>
      <w:r w:rsidR="00441FB8">
        <w:rPr>
          <w:sz w:val="22"/>
          <w:szCs w:val="22"/>
        </w:rPr>
        <w:t xml:space="preserve"> like shelters and fountains, footpaths, inclus</w:t>
      </w:r>
      <w:r w:rsidR="001E5875">
        <w:rPr>
          <w:sz w:val="22"/>
          <w:szCs w:val="22"/>
        </w:rPr>
        <w:t>iveness for people with disability, and greenery (2 responses).</w:t>
      </w:r>
    </w:p>
    <w:p w14:paraId="47338C78" w14:textId="1A039A56" w:rsidR="00AD7893" w:rsidRPr="00B5258A" w:rsidRDefault="00AD7893" w:rsidP="00AD7893">
      <w:pPr>
        <w:pStyle w:val="Heading2"/>
        <w:rPr>
          <w:sz w:val="24"/>
        </w:rPr>
      </w:pPr>
      <w:r>
        <w:rPr>
          <w:sz w:val="24"/>
        </w:rPr>
        <w:lastRenderedPageBreak/>
        <w:t>Project Evaluation</w:t>
      </w:r>
    </w:p>
    <w:p w14:paraId="272484EF" w14:textId="050195B1" w:rsidR="00E106AE" w:rsidRPr="00371B95" w:rsidRDefault="00E106AE" w:rsidP="0075346C">
      <w:pPr>
        <w:jc w:val="both"/>
        <w:rPr>
          <w:sz w:val="22"/>
        </w:rPr>
      </w:pPr>
      <w:r w:rsidRPr="00371B95">
        <w:rPr>
          <w:sz w:val="22"/>
        </w:rPr>
        <w:t xml:space="preserve">The </w:t>
      </w:r>
      <w:r w:rsidR="0075566D" w:rsidRPr="00371B95">
        <w:rPr>
          <w:sz w:val="22"/>
        </w:rPr>
        <w:t>various consultation exercises that underpinned this consultation program were</w:t>
      </w:r>
      <w:r w:rsidRPr="00371B95">
        <w:rPr>
          <w:sz w:val="22"/>
        </w:rPr>
        <w:t xml:space="preserve"> a useful tool to provide </w:t>
      </w:r>
      <w:r w:rsidR="005519AC" w:rsidRPr="00371B95">
        <w:rPr>
          <w:sz w:val="22"/>
        </w:rPr>
        <w:t xml:space="preserve">both visitors </w:t>
      </w:r>
      <w:r w:rsidR="007F2395">
        <w:rPr>
          <w:sz w:val="22"/>
        </w:rPr>
        <w:t xml:space="preserve">to </w:t>
      </w:r>
      <w:r w:rsidR="005519AC" w:rsidRPr="00371B95">
        <w:rPr>
          <w:sz w:val="22"/>
        </w:rPr>
        <w:t xml:space="preserve">the seven activity centres as well as </w:t>
      </w:r>
      <w:r w:rsidR="007F2395">
        <w:rPr>
          <w:sz w:val="22"/>
        </w:rPr>
        <w:t xml:space="preserve">local </w:t>
      </w:r>
      <w:r w:rsidR="005519AC" w:rsidRPr="00371B95">
        <w:rPr>
          <w:sz w:val="22"/>
        </w:rPr>
        <w:t>community</w:t>
      </w:r>
      <w:r w:rsidR="007F2395">
        <w:rPr>
          <w:sz w:val="22"/>
        </w:rPr>
        <w:t xml:space="preserve"> members</w:t>
      </w:r>
      <w:r w:rsidR="005519AC" w:rsidRPr="00371B95">
        <w:rPr>
          <w:sz w:val="22"/>
        </w:rPr>
        <w:t xml:space="preserve"> who were interested and engaged with the activity centres</w:t>
      </w:r>
      <w:r w:rsidRPr="00371B95">
        <w:rPr>
          <w:sz w:val="22"/>
        </w:rPr>
        <w:t xml:space="preserve"> to provide feedback on </w:t>
      </w:r>
      <w:r w:rsidR="00FC457B" w:rsidRPr="00371B95">
        <w:rPr>
          <w:sz w:val="22"/>
        </w:rPr>
        <w:t xml:space="preserve">the </w:t>
      </w:r>
      <w:r w:rsidR="00371B95" w:rsidRPr="00371B95">
        <w:rPr>
          <w:sz w:val="22"/>
        </w:rPr>
        <w:t>potential placemaking initiatives, as well as broader feedback on the activity centres</w:t>
      </w:r>
      <w:r w:rsidR="005F2F3D" w:rsidRPr="00371B95">
        <w:rPr>
          <w:sz w:val="22"/>
        </w:rPr>
        <w:t>.</w:t>
      </w:r>
    </w:p>
    <w:p w14:paraId="3F4CC7CC" w14:textId="1D8F8DBB" w:rsidR="0075346C" w:rsidRPr="00371B95" w:rsidRDefault="00FC457B" w:rsidP="0075346C">
      <w:pPr>
        <w:jc w:val="both"/>
        <w:rPr>
          <w:sz w:val="22"/>
        </w:rPr>
      </w:pPr>
      <w:r w:rsidRPr="00371B95">
        <w:rPr>
          <w:sz w:val="22"/>
        </w:rPr>
        <w:t xml:space="preserve">It is important to bear in mind that the </w:t>
      </w:r>
      <w:r w:rsidR="00371B95">
        <w:rPr>
          <w:sz w:val="22"/>
        </w:rPr>
        <w:t xml:space="preserve">randomly </w:t>
      </w:r>
      <w:r w:rsidR="00CA425E">
        <w:rPr>
          <w:sz w:val="22"/>
        </w:rPr>
        <w:t xml:space="preserve">approached intercept survey </w:t>
      </w:r>
      <w:r w:rsidRPr="00371B95">
        <w:rPr>
          <w:sz w:val="22"/>
        </w:rPr>
        <w:t xml:space="preserve">results are a scientific poll of </w:t>
      </w:r>
      <w:r w:rsidR="00CA425E">
        <w:rPr>
          <w:sz w:val="22"/>
        </w:rPr>
        <w:t xml:space="preserve">visitor </w:t>
      </w:r>
      <w:r w:rsidR="005F2F3D" w:rsidRPr="00371B95">
        <w:rPr>
          <w:sz w:val="22"/>
        </w:rPr>
        <w:t xml:space="preserve">sentiment in relation to </w:t>
      </w:r>
      <w:r w:rsidR="00CA425E">
        <w:rPr>
          <w:sz w:val="22"/>
        </w:rPr>
        <w:t>activity centres,</w:t>
      </w:r>
      <w:r w:rsidR="005F2F3D" w:rsidRPr="00371B95">
        <w:rPr>
          <w:sz w:val="22"/>
        </w:rPr>
        <w:t xml:space="preserve"> </w:t>
      </w:r>
      <w:r w:rsidR="00CA425E">
        <w:rPr>
          <w:sz w:val="22"/>
        </w:rPr>
        <w:t xml:space="preserve">whereas the self-selected online survey respondents reflect the views of those in the community who were sufficiently aware </w:t>
      </w:r>
      <w:proofErr w:type="gramStart"/>
      <w:r w:rsidR="00CA425E">
        <w:rPr>
          <w:sz w:val="22"/>
        </w:rPr>
        <w:t>of</w:t>
      </w:r>
      <w:r w:rsidR="007F2395">
        <w:rPr>
          <w:sz w:val="22"/>
        </w:rPr>
        <w:t>,</w:t>
      </w:r>
      <w:r w:rsidR="00CA425E">
        <w:rPr>
          <w:sz w:val="22"/>
        </w:rPr>
        <w:t xml:space="preserve"> and</w:t>
      </w:r>
      <w:proofErr w:type="gramEnd"/>
      <w:r w:rsidR="00CA425E">
        <w:rPr>
          <w:sz w:val="22"/>
        </w:rPr>
        <w:t xml:space="preserve"> engaged with the issues to motivate them to proactively </w:t>
      </w:r>
      <w:r w:rsidR="0061292E">
        <w:rPr>
          <w:sz w:val="22"/>
        </w:rPr>
        <w:t xml:space="preserve">participate in the </w:t>
      </w:r>
      <w:proofErr w:type="spellStart"/>
      <w:r w:rsidR="0061292E">
        <w:rPr>
          <w:sz w:val="22"/>
        </w:rPr>
        <w:t>consultat</w:t>
      </w:r>
      <w:proofErr w:type="spellEnd"/>
      <w:r w:rsidR="001C07F3">
        <w:rPr>
          <mc:AlternateContent>
            <mc:Choice Requires="w16se"/>
            <mc:Fallback>
              <w:rFonts w:ascii="Segoe UI Emoji" w:eastAsia="Segoe UI Emoji" w:hAnsi="Segoe UI Emoji" w:cs="Segoe UI Emoji"/>
            </mc:Fallback>
          </mc:AlternateContent>
          <w:sz w:val="22"/>
        </w:rPr>
        <mc:AlternateContent>
          <mc:Choice Requires="w16se">
            <w16se:symEx w16se:font="Segoe UI Emoji" w16se:char="2640"/>
          </mc:Choice>
          <mc:Fallback>
            <w:t>♀</w:t>
          </mc:Fallback>
        </mc:AlternateContent>
      </w:r>
      <w:r w:rsidR="0061292E">
        <w:rPr>
          <w:sz w:val="22"/>
        </w:rPr>
        <w:t>ion.</w:t>
      </w:r>
    </w:p>
    <w:sectPr w:rsidR="0075346C" w:rsidRPr="00371B95" w:rsidSect="00AF6944">
      <w:footerReference w:type="default" r:id="rId27"/>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FCBA" w14:textId="77777777" w:rsidR="00537275" w:rsidRDefault="00537275" w:rsidP="00AF6944">
      <w:r>
        <w:separator/>
      </w:r>
    </w:p>
  </w:endnote>
  <w:endnote w:type="continuationSeparator" w:id="0">
    <w:p w14:paraId="534DA0E2" w14:textId="77777777" w:rsidR="00537275" w:rsidRDefault="00537275"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03DF" w14:textId="77777777" w:rsidR="000A084E" w:rsidRPr="00AF6944" w:rsidRDefault="000A084E" w:rsidP="00AF6944">
    <w:pPr>
      <w:pStyle w:val="Footer"/>
      <w:jc w:val="center"/>
    </w:pPr>
    <w:r w:rsidRPr="00AF6944">
      <w:fldChar w:fldCharType="begin"/>
    </w:r>
    <w:r w:rsidRPr="00AF6944">
      <w:instrText xml:space="preserve"> PAGE   \* MERGEFORMAT </w:instrText>
    </w:r>
    <w:r w:rsidRPr="00AF6944">
      <w:fldChar w:fldCharType="separate"/>
    </w:r>
    <w:r w:rsidR="00AC6D08">
      <w:rPr>
        <w:noProof/>
      </w:rPr>
      <w:t>7</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41EA3" w14:textId="77777777" w:rsidR="00537275" w:rsidRDefault="00537275" w:rsidP="00AF6944">
      <w:r>
        <w:separator/>
      </w:r>
    </w:p>
  </w:footnote>
  <w:footnote w:type="continuationSeparator" w:id="0">
    <w:p w14:paraId="20DBA53D" w14:textId="77777777" w:rsidR="00537275" w:rsidRDefault="00537275" w:rsidP="00AF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6187D"/>
    <w:multiLevelType w:val="hybridMultilevel"/>
    <w:tmpl w:val="69485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E734A"/>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15:restartNumberingAfterBreak="0">
    <w:nsid w:val="30916B23"/>
    <w:multiLevelType w:val="hybridMultilevel"/>
    <w:tmpl w:val="EB5A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471A1E"/>
    <w:multiLevelType w:val="hybridMultilevel"/>
    <w:tmpl w:val="2F400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FA6829"/>
    <w:multiLevelType w:val="hybridMultilevel"/>
    <w:tmpl w:val="670A7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B5F25"/>
    <w:multiLevelType w:val="hybridMultilevel"/>
    <w:tmpl w:val="C576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D26440"/>
    <w:multiLevelType w:val="multilevel"/>
    <w:tmpl w:val="50B6BE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FF2724"/>
    <w:multiLevelType w:val="hybridMultilevel"/>
    <w:tmpl w:val="A7A2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766F4C"/>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DE5556"/>
    <w:multiLevelType w:val="hybridMultilevel"/>
    <w:tmpl w:val="C1EC16E2"/>
    <w:lvl w:ilvl="0" w:tplc="FF26F1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D30B0F"/>
    <w:multiLevelType w:val="hybridMultilevel"/>
    <w:tmpl w:val="43F69DB0"/>
    <w:lvl w:ilvl="0" w:tplc="F5681EF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ED6545"/>
    <w:multiLevelType w:val="hybridMultilevel"/>
    <w:tmpl w:val="C5667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7D4C7F"/>
    <w:multiLevelType w:val="hybridMultilevel"/>
    <w:tmpl w:val="C5608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477C3C"/>
    <w:multiLevelType w:val="hybridMultilevel"/>
    <w:tmpl w:val="CD8E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235ECB"/>
    <w:multiLevelType w:val="hybridMultilevel"/>
    <w:tmpl w:val="D54A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36"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436694">
    <w:abstractNumId w:val="2"/>
  </w:num>
  <w:num w:numId="2" w16cid:durableId="188613573">
    <w:abstractNumId w:val="36"/>
  </w:num>
  <w:num w:numId="3" w16cid:durableId="969089508">
    <w:abstractNumId w:val="10"/>
  </w:num>
  <w:num w:numId="4" w16cid:durableId="1418014195">
    <w:abstractNumId w:val="13"/>
  </w:num>
  <w:num w:numId="5" w16cid:durableId="421024035">
    <w:abstractNumId w:val="35"/>
  </w:num>
  <w:num w:numId="6" w16cid:durableId="1809202355">
    <w:abstractNumId w:val="25"/>
  </w:num>
  <w:num w:numId="7" w16cid:durableId="1169053819">
    <w:abstractNumId w:val="14"/>
  </w:num>
  <w:num w:numId="8" w16cid:durableId="2085102798">
    <w:abstractNumId w:val="8"/>
  </w:num>
  <w:num w:numId="9" w16cid:durableId="1156456133">
    <w:abstractNumId w:val="12"/>
  </w:num>
  <w:num w:numId="10" w16cid:durableId="1921981719">
    <w:abstractNumId w:val="5"/>
  </w:num>
  <w:num w:numId="11" w16cid:durableId="1803427877">
    <w:abstractNumId w:val="11"/>
  </w:num>
  <w:num w:numId="12" w16cid:durableId="1164198702">
    <w:abstractNumId w:val="18"/>
  </w:num>
  <w:num w:numId="13" w16cid:durableId="175310445">
    <w:abstractNumId w:val="0"/>
  </w:num>
  <w:num w:numId="14" w16cid:durableId="2080590164">
    <w:abstractNumId w:val="28"/>
  </w:num>
  <w:num w:numId="15" w16cid:durableId="1100105283">
    <w:abstractNumId w:val="1"/>
  </w:num>
  <w:num w:numId="16" w16cid:durableId="1737237657">
    <w:abstractNumId w:val="6"/>
  </w:num>
  <w:num w:numId="17" w16cid:durableId="1785956">
    <w:abstractNumId w:val="26"/>
  </w:num>
  <w:num w:numId="18" w16cid:durableId="1329869010">
    <w:abstractNumId w:val="20"/>
  </w:num>
  <w:num w:numId="19" w16cid:durableId="1632400303">
    <w:abstractNumId w:val="4"/>
  </w:num>
  <w:num w:numId="20" w16cid:durableId="19858534">
    <w:abstractNumId w:val="17"/>
  </w:num>
  <w:num w:numId="21" w16cid:durableId="1618635868">
    <w:abstractNumId w:val="29"/>
  </w:num>
  <w:num w:numId="22" w16cid:durableId="1081099588">
    <w:abstractNumId w:val="22"/>
  </w:num>
  <w:num w:numId="23" w16cid:durableId="428045877">
    <w:abstractNumId w:val="23"/>
  </w:num>
  <w:num w:numId="24" w16cid:durableId="224754678">
    <w:abstractNumId w:val="7"/>
  </w:num>
  <w:num w:numId="25" w16cid:durableId="2111536082">
    <w:abstractNumId w:val="19"/>
  </w:num>
  <w:num w:numId="26" w16cid:durableId="1674721919">
    <w:abstractNumId w:val="9"/>
  </w:num>
  <w:num w:numId="27" w16cid:durableId="809664362">
    <w:abstractNumId w:val="24"/>
  </w:num>
  <w:num w:numId="28" w16cid:durableId="1170634756">
    <w:abstractNumId w:val="30"/>
  </w:num>
  <w:num w:numId="29" w16cid:durableId="769400189">
    <w:abstractNumId w:val="27"/>
  </w:num>
  <w:num w:numId="30" w16cid:durableId="1633439566">
    <w:abstractNumId w:val="3"/>
  </w:num>
  <w:num w:numId="31" w16cid:durableId="1071779476">
    <w:abstractNumId w:val="16"/>
  </w:num>
  <w:num w:numId="32" w16cid:durableId="771322332">
    <w:abstractNumId w:val="21"/>
  </w:num>
  <w:num w:numId="33" w16cid:durableId="26219363">
    <w:abstractNumId w:val="33"/>
  </w:num>
  <w:num w:numId="34" w16cid:durableId="1118767238">
    <w:abstractNumId w:val="15"/>
  </w:num>
  <w:num w:numId="35" w16cid:durableId="567619903">
    <w:abstractNumId w:val="34"/>
  </w:num>
  <w:num w:numId="36" w16cid:durableId="949241065">
    <w:abstractNumId w:val="32"/>
  </w:num>
  <w:num w:numId="37" w16cid:durableId="121130648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C6"/>
    <w:rsid w:val="00000712"/>
    <w:rsid w:val="00006A8A"/>
    <w:rsid w:val="00007EF9"/>
    <w:rsid w:val="0001038D"/>
    <w:rsid w:val="00012699"/>
    <w:rsid w:val="0001645D"/>
    <w:rsid w:val="00016743"/>
    <w:rsid w:val="00026CAC"/>
    <w:rsid w:val="000305C8"/>
    <w:rsid w:val="0003244A"/>
    <w:rsid w:val="0004144F"/>
    <w:rsid w:val="00042BA4"/>
    <w:rsid w:val="00044464"/>
    <w:rsid w:val="000468D1"/>
    <w:rsid w:val="00047E16"/>
    <w:rsid w:val="000543AB"/>
    <w:rsid w:val="000612EE"/>
    <w:rsid w:val="00064483"/>
    <w:rsid w:val="00064C75"/>
    <w:rsid w:val="000807D2"/>
    <w:rsid w:val="000848E6"/>
    <w:rsid w:val="00086CC9"/>
    <w:rsid w:val="0009251F"/>
    <w:rsid w:val="000935A9"/>
    <w:rsid w:val="000A084E"/>
    <w:rsid w:val="000A4E69"/>
    <w:rsid w:val="000B0A2E"/>
    <w:rsid w:val="000B1818"/>
    <w:rsid w:val="000B4899"/>
    <w:rsid w:val="000B4DB6"/>
    <w:rsid w:val="000B5549"/>
    <w:rsid w:val="000B5A89"/>
    <w:rsid w:val="000B6D3F"/>
    <w:rsid w:val="000B75DB"/>
    <w:rsid w:val="000C15C7"/>
    <w:rsid w:val="000C30E7"/>
    <w:rsid w:val="000E08CF"/>
    <w:rsid w:val="000E1C2D"/>
    <w:rsid w:val="000E39DB"/>
    <w:rsid w:val="000E4316"/>
    <w:rsid w:val="000E5599"/>
    <w:rsid w:val="000F1C12"/>
    <w:rsid w:val="000F333D"/>
    <w:rsid w:val="000F4372"/>
    <w:rsid w:val="000F6A06"/>
    <w:rsid w:val="00103EC7"/>
    <w:rsid w:val="001113D3"/>
    <w:rsid w:val="001227E6"/>
    <w:rsid w:val="001261A3"/>
    <w:rsid w:val="00130307"/>
    <w:rsid w:val="00131E37"/>
    <w:rsid w:val="00135A5A"/>
    <w:rsid w:val="00144593"/>
    <w:rsid w:val="00144B13"/>
    <w:rsid w:val="0015054E"/>
    <w:rsid w:val="00164EB8"/>
    <w:rsid w:val="001671A3"/>
    <w:rsid w:val="00174217"/>
    <w:rsid w:val="00174D10"/>
    <w:rsid w:val="00185BF7"/>
    <w:rsid w:val="00187FED"/>
    <w:rsid w:val="001900AC"/>
    <w:rsid w:val="00191902"/>
    <w:rsid w:val="00193ABE"/>
    <w:rsid w:val="001A0B76"/>
    <w:rsid w:val="001A3BD2"/>
    <w:rsid w:val="001A5A50"/>
    <w:rsid w:val="001B2283"/>
    <w:rsid w:val="001B2622"/>
    <w:rsid w:val="001C07F3"/>
    <w:rsid w:val="001C1723"/>
    <w:rsid w:val="001C1861"/>
    <w:rsid w:val="001C39B8"/>
    <w:rsid w:val="001C4222"/>
    <w:rsid w:val="001C48FA"/>
    <w:rsid w:val="001D0200"/>
    <w:rsid w:val="001D18B3"/>
    <w:rsid w:val="001D3DD5"/>
    <w:rsid w:val="001E56FD"/>
    <w:rsid w:val="001E5875"/>
    <w:rsid w:val="001F2111"/>
    <w:rsid w:val="001F318C"/>
    <w:rsid w:val="001F7398"/>
    <w:rsid w:val="00200A7B"/>
    <w:rsid w:val="00201AD7"/>
    <w:rsid w:val="00202162"/>
    <w:rsid w:val="00202D1B"/>
    <w:rsid w:val="00203B84"/>
    <w:rsid w:val="00210118"/>
    <w:rsid w:val="002104EF"/>
    <w:rsid w:val="00211802"/>
    <w:rsid w:val="002228E7"/>
    <w:rsid w:val="00233479"/>
    <w:rsid w:val="0023391E"/>
    <w:rsid w:val="00234A13"/>
    <w:rsid w:val="00237043"/>
    <w:rsid w:val="00240A80"/>
    <w:rsid w:val="002452F5"/>
    <w:rsid w:val="00246570"/>
    <w:rsid w:val="00247081"/>
    <w:rsid w:val="00247B57"/>
    <w:rsid w:val="002508DD"/>
    <w:rsid w:val="00250EE8"/>
    <w:rsid w:val="00254072"/>
    <w:rsid w:val="0025423C"/>
    <w:rsid w:val="0025465E"/>
    <w:rsid w:val="00255FC7"/>
    <w:rsid w:val="00264DBF"/>
    <w:rsid w:val="00265CFA"/>
    <w:rsid w:val="0027210F"/>
    <w:rsid w:val="002751A4"/>
    <w:rsid w:val="0028794D"/>
    <w:rsid w:val="0029640D"/>
    <w:rsid w:val="00297571"/>
    <w:rsid w:val="00297749"/>
    <w:rsid w:val="002A57BF"/>
    <w:rsid w:val="002A58A7"/>
    <w:rsid w:val="002B2117"/>
    <w:rsid w:val="002B3EC4"/>
    <w:rsid w:val="002B497A"/>
    <w:rsid w:val="002C13CF"/>
    <w:rsid w:val="002C290F"/>
    <w:rsid w:val="002C2F8C"/>
    <w:rsid w:val="002D0BC0"/>
    <w:rsid w:val="002D149D"/>
    <w:rsid w:val="002D475D"/>
    <w:rsid w:val="002F295C"/>
    <w:rsid w:val="002F308B"/>
    <w:rsid w:val="002F546C"/>
    <w:rsid w:val="002F6851"/>
    <w:rsid w:val="00304C01"/>
    <w:rsid w:val="00304DE2"/>
    <w:rsid w:val="00306D4A"/>
    <w:rsid w:val="0030763E"/>
    <w:rsid w:val="00307E61"/>
    <w:rsid w:val="003112C8"/>
    <w:rsid w:val="003229B5"/>
    <w:rsid w:val="003311D0"/>
    <w:rsid w:val="00335191"/>
    <w:rsid w:val="0033538F"/>
    <w:rsid w:val="00335A3C"/>
    <w:rsid w:val="00335E3F"/>
    <w:rsid w:val="00341349"/>
    <w:rsid w:val="00343023"/>
    <w:rsid w:val="00343F21"/>
    <w:rsid w:val="003442B7"/>
    <w:rsid w:val="0034432A"/>
    <w:rsid w:val="00344AFA"/>
    <w:rsid w:val="0034622F"/>
    <w:rsid w:val="00354CB2"/>
    <w:rsid w:val="00361602"/>
    <w:rsid w:val="00361FD8"/>
    <w:rsid w:val="00363EB5"/>
    <w:rsid w:val="003647C7"/>
    <w:rsid w:val="00365A7A"/>
    <w:rsid w:val="003702F1"/>
    <w:rsid w:val="003706A9"/>
    <w:rsid w:val="00371B95"/>
    <w:rsid w:val="00373CFC"/>
    <w:rsid w:val="00375D10"/>
    <w:rsid w:val="00377BC1"/>
    <w:rsid w:val="00380A75"/>
    <w:rsid w:val="00385399"/>
    <w:rsid w:val="0038629C"/>
    <w:rsid w:val="0039428D"/>
    <w:rsid w:val="00394DB4"/>
    <w:rsid w:val="003A0388"/>
    <w:rsid w:val="003A25E2"/>
    <w:rsid w:val="003A44FE"/>
    <w:rsid w:val="003A7A17"/>
    <w:rsid w:val="003A7B6C"/>
    <w:rsid w:val="003B5007"/>
    <w:rsid w:val="003B5958"/>
    <w:rsid w:val="003C03BB"/>
    <w:rsid w:val="003D24C4"/>
    <w:rsid w:val="003E0102"/>
    <w:rsid w:val="003E246C"/>
    <w:rsid w:val="003E2FF4"/>
    <w:rsid w:val="003E591A"/>
    <w:rsid w:val="003E66FC"/>
    <w:rsid w:val="003E72B2"/>
    <w:rsid w:val="003E7387"/>
    <w:rsid w:val="003F38DA"/>
    <w:rsid w:val="003F6FCD"/>
    <w:rsid w:val="004035FD"/>
    <w:rsid w:val="00405FBB"/>
    <w:rsid w:val="004117A4"/>
    <w:rsid w:val="00411C98"/>
    <w:rsid w:val="004122A3"/>
    <w:rsid w:val="00413633"/>
    <w:rsid w:val="00413D34"/>
    <w:rsid w:val="004143FB"/>
    <w:rsid w:val="00414BC5"/>
    <w:rsid w:val="0041558A"/>
    <w:rsid w:val="00415AF0"/>
    <w:rsid w:val="00420E3A"/>
    <w:rsid w:val="004242D4"/>
    <w:rsid w:val="004265C3"/>
    <w:rsid w:val="004320B9"/>
    <w:rsid w:val="00433D07"/>
    <w:rsid w:val="0043529A"/>
    <w:rsid w:val="004366AF"/>
    <w:rsid w:val="00436EF1"/>
    <w:rsid w:val="00441D9F"/>
    <w:rsid w:val="00441FB8"/>
    <w:rsid w:val="00444E7D"/>
    <w:rsid w:val="00445455"/>
    <w:rsid w:val="00453BE5"/>
    <w:rsid w:val="00456F2C"/>
    <w:rsid w:val="00457059"/>
    <w:rsid w:val="00457DAA"/>
    <w:rsid w:val="00460E62"/>
    <w:rsid w:val="004621CB"/>
    <w:rsid w:val="004630B7"/>
    <w:rsid w:val="004666BA"/>
    <w:rsid w:val="00471177"/>
    <w:rsid w:val="00471DDC"/>
    <w:rsid w:val="00474040"/>
    <w:rsid w:val="004803E5"/>
    <w:rsid w:val="00481D89"/>
    <w:rsid w:val="00481FE2"/>
    <w:rsid w:val="00484258"/>
    <w:rsid w:val="0049004A"/>
    <w:rsid w:val="00491696"/>
    <w:rsid w:val="0049320F"/>
    <w:rsid w:val="004A4AA5"/>
    <w:rsid w:val="004A6310"/>
    <w:rsid w:val="004B3011"/>
    <w:rsid w:val="004B3884"/>
    <w:rsid w:val="004B62A8"/>
    <w:rsid w:val="004B7B5C"/>
    <w:rsid w:val="004C0079"/>
    <w:rsid w:val="004C207F"/>
    <w:rsid w:val="004D023E"/>
    <w:rsid w:val="004D2C9F"/>
    <w:rsid w:val="004D5D02"/>
    <w:rsid w:val="004D5E2E"/>
    <w:rsid w:val="004E27A7"/>
    <w:rsid w:val="004E62B4"/>
    <w:rsid w:val="004F194C"/>
    <w:rsid w:val="004F2135"/>
    <w:rsid w:val="004F2336"/>
    <w:rsid w:val="004F23C5"/>
    <w:rsid w:val="00501E39"/>
    <w:rsid w:val="005023C0"/>
    <w:rsid w:val="00505448"/>
    <w:rsid w:val="005078CE"/>
    <w:rsid w:val="005121EB"/>
    <w:rsid w:val="00517372"/>
    <w:rsid w:val="00520234"/>
    <w:rsid w:val="00522185"/>
    <w:rsid w:val="00525FE7"/>
    <w:rsid w:val="00533EB4"/>
    <w:rsid w:val="00537275"/>
    <w:rsid w:val="0054020E"/>
    <w:rsid w:val="00540762"/>
    <w:rsid w:val="00541F49"/>
    <w:rsid w:val="00542721"/>
    <w:rsid w:val="0054744A"/>
    <w:rsid w:val="005519AC"/>
    <w:rsid w:val="00555A58"/>
    <w:rsid w:val="005660D9"/>
    <w:rsid w:val="00575FB1"/>
    <w:rsid w:val="00581474"/>
    <w:rsid w:val="00582EC6"/>
    <w:rsid w:val="00583F10"/>
    <w:rsid w:val="005866C6"/>
    <w:rsid w:val="00587311"/>
    <w:rsid w:val="00592EFC"/>
    <w:rsid w:val="005930FF"/>
    <w:rsid w:val="00597363"/>
    <w:rsid w:val="005A03BE"/>
    <w:rsid w:val="005B0803"/>
    <w:rsid w:val="005B2AD9"/>
    <w:rsid w:val="005B65E3"/>
    <w:rsid w:val="005B6F7C"/>
    <w:rsid w:val="005C2860"/>
    <w:rsid w:val="005D0FC0"/>
    <w:rsid w:val="005E000C"/>
    <w:rsid w:val="005E049E"/>
    <w:rsid w:val="005E1937"/>
    <w:rsid w:val="005E3D51"/>
    <w:rsid w:val="005F2F3D"/>
    <w:rsid w:val="005F61C7"/>
    <w:rsid w:val="005F6EAF"/>
    <w:rsid w:val="0060134B"/>
    <w:rsid w:val="00601876"/>
    <w:rsid w:val="00610F7B"/>
    <w:rsid w:val="00611406"/>
    <w:rsid w:val="0061221F"/>
    <w:rsid w:val="0061292E"/>
    <w:rsid w:val="00614C6A"/>
    <w:rsid w:val="006312D7"/>
    <w:rsid w:val="00636B71"/>
    <w:rsid w:val="00645F35"/>
    <w:rsid w:val="0065099F"/>
    <w:rsid w:val="006561BA"/>
    <w:rsid w:val="0065707B"/>
    <w:rsid w:val="00660579"/>
    <w:rsid w:val="0066059D"/>
    <w:rsid w:val="00661AAF"/>
    <w:rsid w:val="0066268C"/>
    <w:rsid w:val="006637F2"/>
    <w:rsid w:val="00663EFE"/>
    <w:rsid w:val="00664012"/>
    <w:rsid w:val="00666DA5"/>
    <w:rsid w:val="00672806"/>
    <w:rsid w:val="00675B08"/>
    <w:rsid w:val="006803F4"/>
    <w:rsid w:val="00682B18"/>
    <w:rsid w:val="006871D8"/>
    <w:rsid w:val="006907A4"/>
    <w:rsid w:val="00692BF3"/>
    <w:rsid w:val="00693167"/>
    <w:rsid w:val="0069345E"/>
    <w:rsid w:val="0069444D"/>
    <w:rsid w:val="00696A40"/>
    <w:rsid w:val="006970A3"/>
    <w:rsid w:val="006A0B99"/>
    <w:rsid w:val="006A2EE7"/>
    <w:rsid w:val="006A79CB"/>
    <w:rsid w:val="006B6DB1"/>
    <w:rsid w:val="006D3F68"/>
    <w:rsid w:val="006D6BB5"/>
    <w:rsid w:val="006E155E"/>
    <w:rsid w:val="006E420F"/>
    <w:rsid w:val="006E6613"/>
    <w:rsid w:val="006E6693"/>
    <w:rsid w:val="006F02DA"/>
    <w:rsid w:val="006F2F45"/>
    <w:rsid w:val="00703146"/>
    <w:rsid w:val="00705133"/>
    <w:rsid w:val="007100AD"/>
    <w:rsid w:val="00710AEA"/>
    <w:rsid w:val="0071244F"/>
    <w:rsid w:val="007137F1"/>
    <w:rsid w:val="0071530E"/>
    <w:rsid w:val="00715797"/>
    <w:rsid w:val="007203E2"/>
    <w:rsid w:val="00721246"/>
    <w:rsid w:val="00725EC4"/>
    <w:rsid w:val="007263F4"/>
    <w:rsid w:val="00727D71"/>
    <w:rsid w:val="0073354D"/>
    <w:rsid w:val="00733B56"/>
    <w:rsid w:val="00735E03"/>
    <w:rsid w:val="007366E1"/>
    <w:rsid w:val="00737CA4"/>
    <w:rsid w:val="00740FE6"/>
    <w:rsid w:val="00742CBF"/>
    <w:rsid w:val="00744660"/>
    <w:rsid w:val="007468AE"/>
    <w:rsid w:val="00750DEB"/>
    <w:rsid w:val="007523C2"/>
    <w:rsid w:val="0075310F"/>
    <w:rsid w:val="0075346C"/>
    <w:rsid w:val="0075566D"/>
    <w:rsid w:val="007635F0"/>
    <w:rsid w:val="00771712"/>
    <w:rsid w:val="00772080"/>
    <w:rsid w:val="007737C6"/>
    <w:rsid w:val="00782DF5"/>
    <w:rsid w:val="0078604E"/>
    <w:rsid w:val="00791172"/>
    <w:rsid w:val="007922F5"/>
    <w:rsid w:val="007A0181"/>
    <w:rsid w:val="007A25F5"/>
    <w:rsid w:val="007A4909"/>
    <w:rsid w:val="007A4B95"/>
    <w:rsid w:val="007A781A"/>
    <w:rsid w:val="007B0B16"/>
    <w:rsid w:val="007B7A26"/>
    <w:rsid w:val="007C33C2"/>
    <w:rsid w:val="007C3974"/>
    <w:rsid w:val="007C6756"/>
    <w:rsid w:val="007C7C8F"/>
    <w:rsid w:val="007E2901"/>
    <w:rsid w:val="007E2C6B"/>
    <w:rsid w:val="007E3ECA"/>
    <w:rsid w:val="007E43D2"/>
    <w:rsid w:val="007E54E4"/>
    <w:rsid w:val="007E612D"/>
    <w:rsid w:val="007E76CB"/>
    <w:rsid w:val="007F0958"/>
    <w:rsid w:val="007F2260"/>
    <w:rsid w:val="007F2395"/>
    <w:rsid w:val="00804855"/>
    <w:rsid w:val="0080514E"/>
    <w:rsid w:val="00805A7E"/>
    <w:rsid w:val="00805D02"/>
    <w:rsid w:val="0080739F"/>
    <w:rsid w:val="00810EEC"/>
    <w:rsid w:val="00814068"/>
    <w:rsid w:val="008154ED"/>
    <w:rsid w:val="00821986"/>
    <w:rsid w:val="00822EB0"/>
    <w:rsid w:val="00823A4A"/>
    <w:rsid w:val="00827EAA"/>
    <w:rsid w:val="008339A0"/>
    <w:rsid w:val="00837C85"/>
    <w:rsid w:val="00840328"/>
    <w:rsid w:val="00841203"/>
    <w:rsid w:val="00842673"/>
    <w:rsid w:val="008435B0"/>
    <w:rsid w:val="00847CCB"/>
    <w:rsid w:val="008511FF"/>
    <w:rsid w:val="0085323B"/>
    <w:rsid w:val="00857A4A"/>
    <w:rsid w:val="00863385"/>
    <w:rsid w:val="008644E5"/>
    <w:rsid w:val="00866D31"/>
    <w:rsid w:val="00872002"/>
    <w:rsid w:val="00873378"/>
    <w:rsid w:val="008735A1"/>
    <w:rsid w:val="008748FF"/>
    <w:rsid w:val="008809AF"/>
    <w:rsid w:val="00884128"/>
    <w:rsid w:val="00887E91"/>
    <w:rsid w:val="00887F16"/>
    <w:rsid w:val="00890ECC"/>
    <w:rsid w:val="00890F5D"/>
    <w:rsid w:val="00891DA6"/>
    <w:rsid w:val="008957A9"/>
    <w:rsid w:val="008A1A1B"/>
    <w:rsid w:val="008A2562"/>
    <w:rsid w:val="008A3B51"/>
    <w:rsid w:val="008A6464"/>
    <w:rsid w:val="008A6929"/>
    <w:rsid w:val="008A774C"/>
    <w:rsid w:val="008B32FF"/>
    <w:rsid w:val="008B7771"/>
    <w:rsid w:val="008C64BC"/>
    <w:rsid w:val="008C6D26"/>
    <w:rsid w:val="008D06D9"/>
    <w:rsid w:val="008D2578"/>
    <w:rsid w:val="008D3071"/>
    <w:rsid w:val="008E20C5"/>
    <w:rsid w:val="008E45DC"/>
    <w:rsid w:val="008E646F"/>
    <w:rsid w:val="008E64B7"/>
    <w:rsid w:val="008E7257"/>
    <w:rsid w:val="008F1EE7"/>
    <w:rsid w:val="008F247C"/>
    <w:rsid w:val="008F37FB"/>
    <w:rsid w:val="008F4121"/>
    <w:rsid w:val="008F798E"/>
    <w:rsid w:val="0090766F"/>
    <w:rsid w:val="0091093F"/>
    <w:rsid w:val="00911DFF"/>
    <w:rsid w:val="009120B9"/>
    <w:rsid w:val="00916A3B"/>
    <w:rsid w:val="009208BA"/>
    <w:rsid w:val="00921279"/>
    <w:rsid w:val="00925F61"/>
    <w:rsid w:val="00926E02"/>
    <w:rsid w:val="009302DD"/>
    <w:rsid w:val="009331E5"/>
    <w:rsid w:val="00933698"/>
    <w:rsid w:val="009358BD"/>
    <w:rsid w:val="00946C4C"/>
    <w:rsid w:val="00947FF9"/>
    <w:rsid w:val="00953037"/>
    <w:rsid w:val="00957B01"/>
    <w:rsid w:val="00971B4E"/>
    <w:rsid w:val="00980640"/>
    <w:rsid w:val="0098257F"/>
    <w:rsid w:val="009871E3"/>
    <w:rsid w:val="009A38CE"/>
    <w:rsid w:val="009A75D2"/>
    <w:rsid w:val="009B4D54"/>
    <w:rsid w:val="009C295F"/>
    <w:rsid w:val="009C46A6"/>
    <w:rsid w:val="009C51DD"/>
    <w:rsid w:val="009C6058"/>
    <w:rsid w:val="009C7432"/>
    <w:rsid w:val="009D1A47"/>
    <w:rsid w:val="009D1A62"/>
    <w:rsid w:val="009D2018"/>
    <w:rsid w:val="009D34D2"/>
    <w:rsid w:val="009D4EBB"/>
    <w:rsid w:val="009D75B0"/>
    <w:rsid w:val="009E0CE8"/>
    <w:rsid w:val="009E15BC"/>
    <w:rsid w:val="009E3B3C"/>
    <w:rsid w:val="009E7743"/>
    <w:rsid w:val="009F6774"/>
    <w:rsid w:val="00A02FE0"/>
    <w:rsid w:val="00A04455"/>
    <w:rsid w:val="00A046C9"/>
    <w:rsid w:val="00A048E3"/>
    <w:rsid w:val="00A10140"/>
    <w:rsid w:val="00A11299"/>
    <w:rsid w:val="00A12B09"/>
    <w:rsid w:val="00A14454"/>
    <w:rsid w:val="00A16892"/>
    <w:rsid w:val="00A16C8A"/>
    <w:rsid w:val="00A23C6D"/>
    <w:rsid w:val="00A24C71"/>
    <w:rsid w:val="00A34A4C"/>
    <w:rsid w:val="00A3625D"/>
    <w:rsid w:val="00A36AF0"/>
    <w:rsid w:val="00A4530C"/>
    <w:rsid w:val="00A523B0"/>
    <w:rsid w:val="00A5332E"/>
    <w:rsid w:val="00A53B91"/>
    <w:rsid w:val="00A633ED"/>
    <w:rsid w:val="00A64959"/>
    <w:rsid w:val="00A66F74"/>
    <w:rsid w:val="00A73FD2"/>
    <w:rsid w:val="00A96497"/>
    <w:rsid w:val="00A96803"/>
    <w:rsid w:val="00AA4DAF"/>
    <w:rsid w:val="00AA6F45"/>
    <w:rsid w:val="00AB1D45"/>
    <w:rsid w:val="00AC06E3"/>
    <w:rsid w:val="00AC6D08"/>
    <w:rsid w:val="00AD2FA1"/>
    <w:rsid w:val="00AD5BDC"/>
    <w:rsid w:val="00AD7893"/>
    <w:rsid w:val="00AD7A23"/>
    <w:rsid w:val="00AE39B0"/>
    <w:rsid w:val="00AE5139"/>
    <w:rsid w:val="00AE625E"/>
    <w:rsid w:val="00AE6FE1"/>
    <w:rsid w:val="00AE7367"/>
    <w:rsid w:val="00AF1D44"/>
    <w:rsid w:val="00AF6944"/>
    <w:rsid w:val="00B02982"/>
    <w:rsid w:val="00B06DB7"/>
    <w:rsid w:val="00B10562"/>
    <w:rsid w:val="00B123F2"/>
    <w:rsid w:val="00B14CEA"/>
    <w:rsid w:val="00B20390"/>
    <w:rsid w:val="00B23FC4"/>
    <w:rsid w:val="00B26014"/>
    <w:rsid w:val="00B30A0B"/>
    <w:rsid w:val="00B3353C"/>
    <w:rsid w:val="00B33EB8"/>
    <w:rsid w:val="00B35E1F"/>
    <w:rsid w:val="00B3626A"/>
    <w:rsid w:val="00B415E2"/>
    <w:rsid w:val="00B42364"/>
    <w:rsid w:val="00B42446"/>
    <w:rsid w:val="00B42DDD"/>
    <w:rsid w:val="00B4647A"/>
    <w:rsid w:val="00B5258A"/>
    <w:rsid w:val="00B52A90"/>
    <w:rsid w:val="00B57F8F"/>
    <w:rsid w:val="00B611AF"/>
    <w:rsid w:val="00B611CC"/>
    <w:rsid w:val="00B6386A"/>
    <w:rsid w:val="00B66BAA"/>
    <w:rsid w:val="00B7159B"/>
    <w:rsid w:val="00B74BC5"/>
    <w:rsid w:val="00B75CDC"/>
    <w:rsid w:val="00B7713D"/>
    <w:rsid w:val="00B815F1"/>
    <w:rsid w:val="00B834DA"/>
    <w:rsid w:val="00B933CF"/>
    <w:rsid w:val="00B94888"/>
    <w:rsid w:val="00B9566E"/>
    <w:rsid w:val="00B97D25"/>
    <w:rsid w:val="00BA1101"/>
    <w:rsid w:val="00BA1673"/>
    <w:rsid w:val="00BA4F0C"/>
    <w:rsid w:val="00BA524B"/>
    <w:rsid w:val="00BC0D74"/>
    <w:rsid w:val="00BC59F1"/>
    <w:rsid w:val="00BD2168"/>
    <w:rsid w:val="00BD4286"/>
    <w:rsid w:val="00BD446D"/>
    <w:rsid w:val="00BD666F"/>
    <w:rsid w:val="00BD7C27"/>
    <w:rsid w:val="00BE18DC"/>
    <w:rsid w:val="00BE4E46"/>
    <w:rsid w:val="00C01B40"/>
    <w:rsid w:val="00C075DE"/>
    <w:rsid w:val="00C07CBC"/>
    <w:rsid w:val="00C11F01"/>
    <w:rsid w:val="00C14BF5"/>
    <w:rsid w:val="00C2068E"/>
    <w:rsid w:val="00C213E1"/>
    <w:rsid w:val="00C22A1C"/>
    <w:rsid w:val="00C27EA9"/>
    <w:rsid w:val="00C27F7F"/>
    <w:rsid w:val="00C3550C"/>
    <w:rsid w:val="00C355FB"/>
    <w:rsid w:val="00C3696A"/>
    <w:rsid w:val="00C40E24"/>
    <w:rsid w:val="00C44354"/>
    <w:rsid w:val="00C46050"/>
    <w:rsid w:val="00C47B1A"/>
    <w:rsid w:val="00C5004B"/>
    <w:rsid w:val="00C50483"/>
    <w:rsid w:val="00C51C47"/>
    <w:rsid w:val="00C619FE"/>
    <w:rsid w:val="00C6346C"/>
    <w:rsid w:val="00C637CC"/>
    <w:rsid w:val="00C65A5F"/>
    <w:rsid w:val="00C76B84"/>
    <w:rsid w:val="00C96282"/>
    <w:rsid w:val="00C96D34"/>
    <w:rsid w:val="00CA08B5"/>
    <w:rsid w:val="00CA425E"/>
    <w:rsid w:val="00CA6A7B"/>
    <w:rsid w:val="00CB0E02"/>
    <w:rsid w:val="00CB4BC8"/>
    <w:rsid w:val="00CB5108"/>
    <w:rsid w:val="00CD7A1C"/>
    <w:rsid w:val="00CE0A4A"/>
    <w:rsid w:val="00CE2A87"/>
    <w:rsid w:val="00CE3663"/>
    <w:rsid w:val="00CE5076"/>
    <w:rsid w:val="00CE6062"/>
    <w:rsid w:val="00CE630E"/>
    <w:rsid w:val="00CF00C4"/>
    <w:rsid w:val="00CF0D69"/>
    <w:rsid w:val="00CF2CCD"/>
    <w:rsid w:val="00D00996"/>
    <w:rsid w:val="00D03ADA"/>
    <w:rsid w:val="00D06EE3"/>
    <w:rsid w:val="00D165FC"/>
    <w:rsid w:val="00D25508"/>
    <w:rsid w:val="00D3007F"/>
    <w:rsid w:val="00D3096A"/>
    <w:rsid w:val="00D34A37"/>
    <w:rsid w:val="00D35AFD"/>
    <w:rsid w:val="00D40FAA"/>
    <w:rsid w:val="00D424E5"/>
    <w:rsid w:val="00D43B29"/>
    <w:rsid w:val="00D5587D"/>
    <w:rsid w:val="00D56910"/>
    <w:rsid w:val="00D569A7"/>
    <w:rsid w:val="00D569D0"/>
    <w:rsid w:val="00D6116B"/>
    <w:rsid w:val="00D639EC"/>
    <w:rsid w:val="00D63BE4"/>
    <w:rsid w:val="00D66FDC"/>
    <w:rsid w:val="00D6707D"/>
    <w:rsid w:val="00D70231"/>
    <w:rsid w:val="00D738D3"/>
    <w:rsid w:val="00D762CD"/>
    <w:rsid w:val="00D77743"/>
    <w:rsid w:val="00D82497"/>
    <w:rsid w:val="00D841C7"/>
    <w:rsid w:val="00D8463F"/>
    <w:rsid w:val="00D853C6"/>
    <w:rsid w:val="00D86396"/>
    <w:rsid w:val="00D909F9"/>
    <w:rsid w:val="00D918FB"/>
    <w:rsid w:val="00D93965"/>
    <w:rsid w:val="00DA5E25"/>
    <w:rsid w:val="00DA61E7"/>
    <w:rsid w:val="00DA694A"/>
    <w:rsid w:val="00DA6D73"/>
    <w:rsid w:val="00DB3603"/>
    <w:rsid w:val="00DC03A9"/>
    <w:rsid w:val="00DC53E6"/>
    <w:rsid w:val="00DD3027"/>
    <w:rsid w:val="00DD432C"/>
    <w:rsid w:val="00DD78E0"/>
    <w:rsid w:val="00DE4211"/>
    <w:rsid w:val="00DF5A66"/>
    <w:rsid w:val="00DF7AED"/>
    <w:rsid w:val="00E01E25"/>
    <w:rsid w:val="00E106AE"/>
    <w:rsid w:val="00E10AD4"/>
    <w:rsid w:val="00E203AE"/>
    <w:rsid w:val="00E23332"/>
    <w:rsid w:val="00E235F2"/>
    <w:rsid w:val="00E24071"/>
    <w:rsid w:val="00E26121"/>
    <w:rsid w:val="00E3559C"/>
    <w:rsid w:val="00E36AF1"/>
    <w:rsid w:val="00E40A86"/>
    <w:rsid w:val="00E4556A"/>
    <w:rsid w:val="00E479F4"/>
    <w:rsid w:val="00E56785"/>
    <w:rsid w:val="00E6085B"/>
    <w:rsid w:val="00E7063D"/>
    <w:rsid w:val="00E73843"/>
    <w:rsid w:val="00E7622B"/>
    <w:rsid w:val="00E7652F"/>
    <w:rsid w:val="00E82911"/>
    <w:rsid w:val="00E87613"/>
    <w:rsid w:val="00E91DE3"/>
    <w:rsid w:val="00E95F5A"/>
    <w:rsid w:val="00E97660"/>
    <w:rsid w:val="00EA123D"/>
    <w:rsid w:val="00EA1B5F"/>
    <w:rsid w:val="00EA3B0B"/>
    <w:rsid w:val="00EA6EA0"/>
    <w:rsid w:val="00EB65FF"/>
    <w:rsid w:val="00EC1F55"/>
    <w:rsid w:val="00ED2491"/>
    <w:rsid w:val="00ED5987"/>
    <w:rsid w:val="00ED5CFF"/>
    <w:rsid w:val="00ED63D3"/>
    <w:rsid w:val="00EE19C2"/>
    <w:rsid w:val="00EE1AEE"/>
    <w:rsid w:val="00EE381B"/>
    <w:rsid w:val="00EE4180"/>
    <w:rsid w:val="00EF06A1"/>
    <w:rsid w:val="00EF145B"/>
    <w:rsid w:val="00EF46D0"/>
    <w:rsid w:val="00F057F2"/>
    <w:rsid w:val="00F07ED3"/>
    <w:rsid w:val="00F10FEA"/>
    <w:rsid w:val="00F1225D"/>
    <w:rsid w:val="00F144D8"/>
    <w:rsid w:val="00F22657"/>
    <w:rsid w:val="00F23A88"/>
    <w:rsid w:val="00F248CD"/>
    <w:rsid w:val="00F24C6E"/>
    <w:rsid w:val="00F30EEA"/>
    <w:rsid w:val="00F31200"/>
    <w:rsid w:val="00F316A4"/>
    <w:rsid w:val="00F3601D"/>
    <w:rsid w:val="00F40B59"/>
    <w:rsid w:val="00F44A43"/>
    <w:rsid w:val="00F5498C"/>
    <w:rsid w:val="00F6389B"/>
    <w:rsid w:val="00F640FC"/>
    <w:rsid w:val="00F64712"/>
    <w:rsid w:val="00F64B11"/>
    <w:rsid w:val="00F658B2"/>
    <w:rsid w:val="00F6592A"/>
    <w:rsid w:val="00F70CEF"/>
    <w:rsid w:val="00F71DB6"/>
    <w:rsid w:val="00F72EEF"/>
    <w:rsid w:val="00F73C88"/>
    <w:rsid w:val="00F76040"/>
    <w:rsid w:val="00F81021"/>
    <w:rsid w:val="00F819E4"/>
    <w:rsid w:val="00F87EB1"/>
    <w:rsid w:val="00FA1C91"/>
    <w:rsid w:val="00FA228D"/>
    <w:rsid w:val="00FA53AA"/>
    <w:rsid w:val="00FB339A"/>
    <w:rsid w:val="00FC0668"/>
    <w:rsid w:val="00FC457B"/>
    <w:rsid w:val="00FD0B86"/>
    <w:rsid w:val="00FD23C3"/>
    <w:rsid w:val="00FD4626"/>
    <w:rsid w:val="00FD4BEC"/>
    <w:rsid w:val="00FD75A2"/>
    <w:rsid w:val="00FE2BC3"/>
    <w:rsid w:val="00FE334A"/>
    <w:rsid w:val="00FE5EAA"/>
    <w:rsid w:val="00FE5F50"/>
    <w:rsid w:val="00FE690E"/>
    <w:rsid w:val="00FF3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681B2"/>
  <w15:chartTrackingRefBased/>
  <w15:docId w15:val="{E9519498-7E05-4A59-930E-0B76692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44"/>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29"/>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29"/>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29"/>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29"/>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29"/>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29"/>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29"/>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2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2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semiHidden/>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paragraph" w:styleId="NormalWeb">
    <w:name w:val="Normal (Web)"/>
    <w:basedOn w:val="Normal"/>
    <w:uiPriority w:val="99"/>
    <w:semiHidden/>
    <w:unhideWhenUsed/>
    <w:rsid w:val="005121EB"/>
    <w:pPr>
      <w:spacing w:beforeAutospacing="1" w:after="100" w:afterAutospacing="1" w:line="240" w:lineRule="auto"/>
    </w:pPr>
    <w:rPr>
      <w:rFonts w:ascii="Times New Roman" w:eastAsia="Times New Roman" w:hAnsi="Times New Roman" w:cs="Times New Roman"/>
      <w:lang w:eastAsia="en-AU"/>
    </w:rPr>
  </w:style>
  <w:style w:type="paragraph" w:styleId="Revision">
    <w:name w:val="Revision"/>
    <w:hidden/>
    <w:uiPriority w:val="99"/>
    <w:semiHidden/>
    <w:rsid w:val="00C2068E"/>
    <w:pPr>
      <w:spacing w:before="0" w:after="0" w:line="240" w:lineRule="auto"/>
    </w:pPr>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80878">
      <w:bodyDiv w:val="1"/>
      <w:marLeft w:val="0"/>
      <w:marRight w:val="0"/>
      <w:marTop w:val="0"/>
      <w:marBottom w:val="0"/>
      <w:divBdr>
        <w:top w:val="none" w:sz="0" w:space="0" w:color="auto"/>
        <w:left w:val="none" w:sz="0" w:space="0" w:color="auto"/>
        <w:bottom w:val="none" w:sz="0" w:space="0" w:color="auto"/>
        <w:right w:val="none" w:sz="0" w:space="0" w:color="auto"/>
      </w:divBdr>
    </w:div>
    <w:div w:id="340935385">
      <w:bodyDiv w:val="1"/>
      <w:marLeft w:val="0"/>
      <w:marRight w:val="0"/>
      <w:marTop w:val="0"/>
      <w:marBottom w:val="0"/>
      <w:divBdr>
        <w:top w:val="none" w:sz="0" w:space="0" w:color="auto"/>
        <w:left w:val="none" w:sz="0" w:space="0" w:color="auto"/>
        <w:bottom w:val="none" w:sz="0" w:space="0" w:color="auto"/>
        <w:right w:val="none" w:sz="0" w:space="0" w:color="auto"/>
      </w:divBdr>
    </w:div>
    <w:div w:id="697658354">
      <w:bodyDiv w:val="1"/>
      <w:marLeft w:val="0"/>
      <w:marRight w:val="0"/>
      <w:marTop w:val="0"/>
      <w:marBottom w:val="0"/>
      <w:divBdr>
        <w:top w:val="none" w:sz="0" w:space="0" w:color="auto"/>
        <w:left w:val="none" w:sz="0" w:space="0" w:color="auto"/>
        <w:bottom w:val="none" w:sz="0" w:space="0" w:color="auto"/>
        <w:right w:val="none" w:sz="0" w:space="0" w:color="auto"/>
      </w:divBdr>
    </w:div>
    <w:div w:id="832137670">
      <w:bodyDiv w:val="1"/>
      <w:marLeft w:val="0"/>
      <w:marRight w:val="0"/>
      <w:marTop w:val="0"/>
      <w:marBottom w:val="0"/>
      <w:divBdr>
        <w:top w:val="none" w:sz="0" w:space="0" w:color="auto"/>
        <w:left w:val="none" w:sz="0" w:space="0" w:color="auto"/>
        <w:bottom w:val="none" w:sz="0" w:space="0" w:color="auto"/>
        <w:right w:val="none" w:sz="0" w:space="0" w:color="auto"/>
      </w:divBdr>
    </w:div>
    <w:div w:id="1095204827">
      <w:bodyDiv w:val="1"/>
      <w:marLeft w:val="0"/>
      <w:marRight w:val="0"/>
      <w:marTop w:val="0"/>
      <w:marBottom w:val="0"/>
      <w:divBdr>
        <w:top w:val="none" w:sz="0" w:space="0" w:color="auto"/>
        <w:left w:val="none" w:sz="0" w:space="0" w:color="auto"/>
        <w:bottom w:val="none" w:sz="0" w:space="0" w:color="auto"/>
        <w:right w:val="none" w:sz="0" w:space="0" w:color="auto"/>
      </w:divBdr>
    </w:div>
    <w:div w:id="11365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743-6380-493C-A84B-8843EFDB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3656</Words>
  <Characters>20430</Characters>
  <Application>Microsoft Office Word</Application>
  <DocSecurity>4</DocSecurity>
  <Lines>500</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Joanne Hyland</cp:lastModifiedBy>
  <cp:revision>2</cp:revision>
  <cp:lastPrinted>2024-01-08T07:04:00Z</cp:lastPrinted>
  <dcterms:created xsi:type="dcterms:W3CDTF">2024-01-29T01:38:00Z</dcterms:created>
  <dcterms:modified xsi:type="dcterms:W3CDTF">2024-01-29T01:38:00Z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6eb2bd21bcc1916a76133cb775190ac5666365f3ef7abd6fa53a55f9dbd86636</vt:lpwstr>
  </property>
</Properties>
</file>